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112A" w14:textId="3B93211F" w:rsidR="00BA2A32" w:rsidRDefault="00DF3ADB" w:rsidP="00C1637A">
      <w:pPr>
        <w:pStyle w:val="IntenseQuote"/>
        <w:spacing w:line="276" w:lineRule="auto"/>
      </w:pPr>
      <w:r w:rsidRPr="0083429A">
        <w:t>Pollutants/Contaminants of Concern (Surface and Groundwater</w:t>
      </w:r>
      <w:r w:rsidR="00891A0C">
        <w:t>)</w:t>
      </w:r>
    </w:p>
    <w:p w14:paraId="1EFB582F" w14:textId="6AB92A08" w:rsidR="00973282" w:rsidRPr="00D01B8F" w:rsidRDefault="00374122" w:rsidP="00C1637A">
      <w:pPr>
        <w:spacing w:before="100" w:beforeAutospacing="1" w:after="100" w:afterAutospacing="1" w:line="276" w:lineRule="auto"/>
        <w:rPr>
          <w:rFonts w:eastAsia="Times New Roman"/>
          <w:color w:val="000000"/>
        </w:rPr>
      </w:pPr>
      <w:r>
        <w:t>1. In</w:t>
      </w:r>
      <w:r w:rsidR="00285A72" w:rsidRPr="00D01B8F">
        <w:t xml:space="preserve"> general, </w:t>
      </w:r>
      <w:r w:rsidR="00674329" w:rsidRPr="00D01B8F">
        <w:t xml:space="preserve">contaminants of emerging concern or </w:t>
      </w:r>
      <w:r w:rsidR="00285A72" w:rsidRPr="00D01B8F">
        <w:rPr>
          <w:rFonts w:eastAsia="Times New Roman"/>
          <w:color w:val="000000"/>
        </w:rPr>
        <w:t xml:space="preserve">‘CECs’ </w:t>
      </w:r>
      <w:r w:rsidR="00674329" w:rsidRPr="00D01B8F">
        <w:rPr>
          <w:rFonts w:eastAsia="Times New Roman"/>
          <w:color w:val="000000"/>
        </w:rPr>
        <w:t xml:space="preserve">such as </w:t>
      </w:r>
      <w:r w:rsidR="00241F8C" w:rsidRPr="00241F8C">
        <w:rPr>
          <w:rFonts w:cs="Arial"/>
          <w:color w:val="000000"/>
          <w:shd w:val="clear" w:color="auto" w:fill="FFFFFF"/>
        </w:rPr>
        <w:t xml:space="preserve">per- and poly-fluoroalkyl substances </w:t>
      </w:r>
      <w:r w:rsidR="00241F8C">
        <w:rPr>
          <w:rFonts w:cs="Arial"/>
          <w:color w:val="000000"/>
          <w:shd w:val="clear" w:color="auto" w:fill="FFFFFF"/>
        </w:rPr>
        <w:t>(</w:t>
      </w:r>
      <w:r w:rsidR="00674329" w:rsidRPr="00D01B8F">
        <w:rPr>
          <w:rFonts w:eastAsia="Times New Roman"/>
          <w:color w:val="000000"/>
        </w:rPr>
        <w:t xml:space="preserve">PFAS, pharmaceuticals and personal care products, </w:t>
      </w:r>
      <w:r w:rsidR="00936E6F" w:rsidRPr="00D01B8F">
        <w:rPr>
          <w:rFonts w:eastAsia="Times New Roman"/>
          <w:color w:val="000000"/>
        </w:rPr>
        <w:t xml:space="preserve">microplastics, </w:t>
      </w:r>
      <w:commentRangeStart w:id="0"/>
      <w:commentRangeStart w:id="1"/>
      <w:r w:rsidR="00936E6F" w:rsidRPr="00D01B8F">
        <w:rPr>
          <w:rFonts w:eastAsia="Times New Roman"/>
          <w:color w:val="000000"/>
        </w:rPr>
        <w:t>and</w:t>
      </w:r>
      <w:commentRangeEnd w:id="0"/>
      <w:r w:rsidR="00382062" w:rsidRPr="00D01B8F">
        <w:rPr>
          <w:rStyle w:val="CommentReference"/>
          <w:rFonts w:eastAsia="Times New Roman"/>
          <w:color w:val="000000"/>
          <w:sz w:val="24"/>
          <w:szCs w:val="24"/>
        </w:rPr>
        <w:commentReference w:id="0"/>
      </w:r>
      <w:commentRangeEnd w:id="1"/>
      <w:r w:rsidR="00382062" w:rsidRPr="00D01B8F">
        <w:rPr>
          <w:rStyle w:val="CommentReference"/>
          <w:rFonts w:eastAsia="Times New Roman"/>
          <w:color w:val="000000"/>
          <w:sz w:val="24"/>
          <w:szCs w:val="24"/>
        </w:rPr>
        <w:commentReference w:id="1"/>
      </w:r>
      <w:r w:rsidR="00936E6F" w:rsidRPr="00D01B8F">
        <w:rPr>
          <w:rFonts w:eastAsia="Times New Roman"/>
          <w:color w:val="000000"/>
        </w:rPr>
        <w:t xml:space="preserve"> </w:t>
      </w:r>
      <w:r w:rsidR="00D01B8F">
        <w:rPr>
          <w:rFonts w:eastAsia="Times New Roman"/>
          <w:color w:val="000000"/>
        </w:rPr>
        <w:t>algal toxins</w:t>
      </w:r>
      <w:r w:rsidR="006809C7">
        <w:rPr>
          <w:rFonts w:eastAsia="Times New Roman"/>
          <w:color w:val="000000"/>
        </w:rPr>
        <w:t xml:space="preserve"> (fro</w:t>
      </w:r>
      <w:r w:rsidR="00A610ED">
        <w:rPr>
          <w:rFonts w:eastAsia="Times New Roman"/>
          <w:color w:val="000000"/>
        </w:rPr>
        <w:t>m harmful algal blooms or HABs)</w:t>
      </w:r>
      <w:r w:rsidR="00285A72" w:rsidRPr="00D01B8F">
        <w:rPr>
          <w:rFonts w:eastAsia="Times New Roman"/>
          <w:color w:val="000000"/>
        </w:rPr>
        <w:t xml:space="preserve"> </w:t>
      </w:r>
      <w:r w:rsidR="00B04431" w:rsidRPr="00D01B8F">
        <w:rPr>
          <w:rFonts w:eastAsia="Times New Roman"/>
          <w:color w:val="000000"/>
        </w:rPr>
        <w:t>represent</w:t>
      </w:r>
      <w:r w:rsidR="00285A72" w:rsidRPr="00D01B8F">
        <w:rPr>
          <w:rFonts w:eastAsia="Times New Roman"/>
          <w:color w:val="000000"/>
        </w:rPr>
        <w:t xml:space="preserve"> pollutants that are extremely expensive to treat </w:t>
      </w:r>
      <w:r w:rsidR="006A1F0F">
        <w:rPr>
          <w:rFonts w:eastAsia="Times New Roman"/>
          <w:color w:val="000000"/>
        </w:rPr>
        <w:t>at wastewater treatment facilities</w:t>
      </w:r>
      <w:r w:rsidR="00A91EEB">
        <w:rPr>
          <w:rFonts w:eastAsia="Times New Roman"/>
          <w:color w:val="000000"/>
        </w:rPr>
        <w:t xml:space="preserve">, </w:t>
      </w:r>
      <w:r w:rsidR="00A91EEB" w:rsidRPr="001F562A">
        <w:rPr>
          <w:rFonts w:eastAsia="Times New Roman"/>
          <w:color w:val="EE0000"/>
        </w:rPr>
        <w:t>as are other chemical pollutants such as pesticides</w:t>
      </w:r>
      <w:r w:rsidR="00285A72" w:rsidRPr="00D01B8F">
        <w:rPr>
          <w:rFonts w:eastAsia="Times New Roman"/>
          <w:color w:val="000000"/>
        </w:rPr>
        <w:t xml:space="preserve">. For this reason, the MPCA prioritizes </w:t>
      </w:r>
      <w:r w:rsidR="002C6C0D">
        <w:rPr>
          <w:rFonts w:eastAsia="Times New Roman"/>
          <w:color w:val="000000"/>
        </w:rPr>
        <w:t xml:space="preserve">pollutant </w:t>
      </w:r>
      <w:r w:rsidR="00285A72" w:rsidRPr="00D01B8F">
        <w:rPr>
          <w:rFonts w:eastAsia="Times New Roman"/>
          <w:color w:val="000000"/>
        </w:rPr>
        <w:t xml:space="preserve">source identification and reduction over </w:t>
      </w:r>
      <w:commentRangeStart w:id="2"/>
      <w:r w:rsidR="00285A72" w:rsidRPr="00D01B8F">
        <w:rPr>
          <w:rFonts w:eastAsia="Times New Roman"/>
          <w:color w:val="000000"/>
        </w:rPr>
        <w:t>treatment</w:t>
      </w:r>
      <w:commentRangeEnd w:id="2"/>
      <w:r w:rsidR="00B23741" w:rsidRPr="00D01B8F">
        <w:rPr>
          <w:rStyle w:val="CommentReference"/>
          <w:rFonts w:eastAsia="Times New Roman"/>
          <w:color w:val="000000"/>
          <w:sz w:val="24"/>
          <w:szCs w:val="24"/>
        </w:rPr>
        <w:commentReference w:id="2"/>
      </w:r>
      <w:r w:rsidR="00285A72" w:rsidRPr="00D01B8F">
        <w:rPr>
          <w:rFonts w:eastAsia="Times New Roman"/>
          <w:color w:val="000000"/>
        </w:rPr>
        <w:t>.</w:t>
      </w:r>
      <w:r w:rsidR="00D01B8F">
        <w:rPr>
          <w:rFonts w:eastAsia="Times New Roman"/>
          <w:color w:val="000000"/>
        </w:rPr>
        <w:t xml:space="preserve"> </w:t>
      </w:r>
      <w:r w:rsidR="00973282">
        <w:t>To reduce the numbers and concentrations of future CECs in the environment, thereby reducing the risk posed to humans and aquatic ecosystems</w:t>
      </w:r>
      <w:r w:rsidR="00341B90">
        <w:t xml:space="preserve">, </w:t>
      </w:r>
      <w:r w:rsidR="00580960">
        <w:t>the Task Force</w:t>
      </w:r>
      <w:r w:rsidR="00341B90">
        <w:t xml:space="preserve"> endorse</w:t>
      </w:r>
      <w:r w:rsidR="00580960">
        <w:t>s</w:t>
      </w:r>
      <w:r w:rsidR="00341B90">
        <w:t xml:space="preserve"> the </w:t>
      </w:r>
      <w:r w:rsidR="00EF4E8C">
        <w:t>following recommendations</w:t>
      </w:r>
      <w:r w:rsidR="000C7B2D">
        <w:t xml:space="preserve"> first proposed under the Minnesota Water Sustainability Framework in 2010:</w:t>
      </w:r>
    </w:p>
    <w:p w14:paraId="3346082B" w14:textId="375C2F7D" w:rsidR="00DF3ADB" w:rsidRPr="00DF3ADB" w:rsidRDefault="00DF3ADB" w:rsidP="00C1637A">
      <w:pPr>
        <w:pStyle w:val="ListParagraph"/>
        <w:spacing w:line="276" w:lineRule="auto"/>
      </w:pPr>
      <w:r w:rsidRPr="0054035D">
        <w:t>C.1.a: Enact a Green Chemistry and Manufacturing Act that encourages Minnesota businesses to manufacture and use safer chemicals in their processes and products by providing economic incentives such as tax deductions.</w:t>
      </w:r>
    </w:p>
    <w:p w14:paraId="3DC165B1" w14:textId="77777777" w:rsidR="00DF3ADB" w:rsidRPr="00DF3ADB" w:rsidRDefault="00DF3ADB" w:rsidP="00C1637A">
      <w:pPr>
        <w:pStyle w:val="ListParagraph"/>
        <w:spacing w:line="276" w:lineRule="auto"/>
      </w:pPr>
    </w:p>
    <w:p w14:paraId="41A2D229" w14:textId="1F85DEB6" w:rsidR="00DF3ADB" w:rsidRPr="00DF3ADB" w:rsidRDefault="00DF3ADB" w:rsidP="00C1637A">
      <w:pPr>
        <w:pStyle w:val="ListParagraph"/>
        <w:spacing w:line="276" w:lineRule="auto"/>
      </w:pPr>
      <w:r w:rsidRPr="004B5E89">
        <w:rPr>
          <w:highlight w:val="yellow"/>
        </w:rPr>
        <w:t xml:space="preserve">C.2.a: State agencies, in consultation with outside experts and stakeholders, should develop a systematic, science-based process for the identification, risk determination, and regulatory outcome of contaminants of emerging concern in </w:t>
      </w:r>
      <w:commentRangeStart w:id="3"/>
      <w:commentRangeStart w:id="4"/>
      <w:r w:rsidRPr="004B5E89">
        <w:rPr>
          <w:highlight w:val="yellow"/>
        </w:rPr>
        <w:t>Minnesota</w:t>
      </w:r>
      <w:commentRangeEnd w:id="3"/>
      <w:r w:rsidR="000A16B1" w:rsidRPr="004B5E89">
        <w:rPr>
          <w:rStyle w:val="CommentReference"/>
          <w:sz w:val="24"/>
          <w:szCs w:val="24"/>
          <w:highlight w:val="yellow"/>
        </w:rPr>
        <w:commentReference w:id="3"/>
      </w:r>
      <w:commentRangeEnd w:id="4"/>
      <w:r w:rsidR="00E26051" w:rsidRPr="004B5E89">
        <w:rPr>
          <w:rStyle w:val="CommentReference"/>
          <w:sz w:val="24"/>
          <w:szCs w:val="24"/>
          <w:highlight w:val="yellow"/>
        </w:rPr>
        <w:commentReference w:id="4"/>
      </w:r>
      <w:r w:rsidRPr="004B5E89">
        <w:rPr>
          <w:highlight w:val="yellow"/>
        </w:rPr>
        <w:t>.</w:t>
      </w:r>
    </w:p>
    <w:p w14:paraId="0ADA9444" w14:textId="77777777" w:rsidR="00DF3ADB" w:rsidRPr="00DF3ADB" w:rsidRDefault="00DF3ADB" w:rsidP="00C1637A">
      <w:pPr>
        <w:pStyle w:val="ListParagraph"/>
        <w:spacing w:line="276" w:lineRule="auto"/>
      </w:pPr>
    </w:p>
    <w:p w14:paraId="2724D525" w14:textId="57AE8A38" w:rsidR="00DF3ADB" w:rsidRDefault="00DF3ADB" w:rsidP="00C1637A">
      <w:pPr>
        <w:pStyle w:val="ListParagraph"/>
        <w:spacing w:line="276" w:lineRule="auto"/>
      </w:pPr>
      <w:r w:rsidRPr="00DF3ADB">
        <w:t xml:space="preserve">C.2.b: Expand the current MDH Drinking Water Contaminants of Emerging Contaminants program to cover CEC exposures from other sources beyond drinking water, and to broaden program to other agencies and include fish and wildlife </w:t>
      </w:r>
      <w:commentRangeStart w:id="5"/>
      <w:r w:rsidRPr="00DF3ADB">
        <w:t>effects</w:t>
      </w:r>
      <w:commentRangeEnd w:id="5"/>
      <w:r w:rsidR="0098707A" w:rsidRPr="00DF3ADB">
        <w:rPr>
          <w:rStyle w:val="CommentReference"/>
          <w:sz w:val="24"/>
          <w:szCs w:val="24"/>
        </w:rPr>
        <w:commentReference w:id="5"/>
      </w:r>
      <w:r w:rsidRPr="00DF3ADB">
        <w:t>.</w:t>
      </w:r>
    </w:p>
    <w:p w14:paraId="2A2FC7B4" w14:textId="77777777" w:rsidR="00D01B8F" w:rsidRDefault="00D01B8F" w:rsidP="00C1637A">
      <w:pPr>
        <w:pStyle w:val="ListParagraph"/>
        <w:spacing w:line="276" w:lineRule="auto"/>
      </w:pPr>
    </w:p>
    <w:p w14:paraId="4E81ACC1" w14:textId="364D8086" w:rsidR="009C5F5D" w:rsidRDefault="00D01B8F" w:rsidP="00C1637A">
      <w:pPr>
        <w:pStyle w:val="ListParagraph"/>
        <w:spacing w:line="276" w:lineRule="auto"/>
      </w:pPr>
      <w:r w:rsidRPr="00DF3ADB">
        <w:t xml:space="preserve">C.2.d: Adopt a comprehensive policy and provide funding for county programs to collect and properly dispose of unused </w:t>
      </w:r>
      <w:commentRangeStart w:id="6"/>
      <w:r w:rsidRPr="00DF3ADB">
        <w:t>pharmaceuticals</w:t>
      </w:r>
      <w:commentRangeEnd w:id="6"/>
      <w:r w:rsidR="003423E0" w:rsidRPr="00DF3ADB">
        <w:rPr>
          <w:rStyle w:val="CommentReference"/>
          <w:sz w:val="24"/>
          <w:szCs w:val="24"/>
        </w:rPr>
        <w:commentReference w:id="6"/>
      </w:r>
      <w:r w:rsidRPr="00DF3ADB">
        <w:t>.</w:t>
      </w:r>
    </w:p>
    <w:p w14:paraId="31CACCC0" w14:textId="77777777" w:rsidR="00D01B8F" w:rsidRDefault="00D01B8F" w:rsidP="00C1637A">
      <w:pPr>
        <w:pStyle w:val="ListParagraph"/>
        <w:spacing w:line="276" w:lineRule="auto"/>
      </w:pPr>
    </w:p>
    <w:p w14:paraId="0087FEB2" w14:textId="75FC9A23" w:rsidR="009C5F5D" w:rsidRPr="009C5F5D" w:rsidRDefault="00374122" w:rsidP="00C1637A">
      <w:pPr>
        <w:pStyle w:val="NoSpacing"/>
        <w:spacing w:line="276" w:lineRule="auto"/>
      </w:pPr>
      <w:r>
        <w:t xml:space="preserve">2. </w:t>
      </w:r>
      <w:r w:rsidR="00D01B8F">
        <w:t>The Task Force recommends that the state c</w:t>
      </w:r>
      <w:r w:rsidR="009C5F5D" w:rsidRPr="009C5F5D">
        <w:t xml:space="preserve">ontinue to invest in MPCA’s ambient groundwater </w:t>
      </w:r>
      <w:r w:rsidR="00413F65">
        <w:t xml:space="preserve">monitoring </w:t>
      </w:r>
      <w:r w:rsidR="009C5F5D" w:rsidRPr="009C5F5D">
        <w:t xml:space="preserve">program’s </w:t>
      </w:r>
      <w:r w:rsidR="00C1637A">
        <w:t xml:space="preserve">capacity </w:t>
      </w:r>
      <w:r w:rsidR="009C5F5D" w:rsidRPr="009C5F5D">
        <w:t xml:space="preserve">to </w:t>
      </w:r>
      <w:r w:rsidR="00413F65">
        <w:t>test</w:t>
      </w:r>
      <w:r w:rsidR="009C5F5D" w:rsidRPr="009C5F5D">
        <w:t xml:space="preserve"> for emerging contaminants, and for MPCA and MDH to coordinate on when ecological</w:t>
      </w:r>
      <w:r w:rsidR="00A7226B">
        <w:t xml:space="preserve"> </w:t>
      </w:r>
      <w:r w:rsidR="00D23E7D">
        <w:t xml:space="preserve">and </w:t>
      </w:r>
      <w:r w:rsidR="009C5F5D" w:rsidRPr="009C5F5D">
        <w:t xml:space="preserve">public health risk assessments need to be conducted for new contaminants of </w:t>
      </w:r>
      <w:commentRangeStart w:id="7"/>
      <w:r w:rsidR="009C5F5D" w:rsidRPr="009C5F5D">
        <w:t>concern</w:t>
      </w:r>
      <w:commentRangeEnd w:id="7"/>
      <w:r w:rsidR="002C0840" w:rsidRPr="009C5F5D">
        <w:rPr>
          <w:rStyle w:val="CommentReference"/>
          <w:sz w:val="24"/>
          <w:szCs w:val="24"/>
        </w:rPr>
        <w:commentReference w:id="7"/>
      </w:r>
      <w:r w:rsidR="009C5F5D" w:rsidRPr="009C5F5D">
        <w:t>.</w:t>
      </w:r>
    </w:p>
    <w:p w14:paraId="60AC263E" w14:textId="77777777" w:rsidR="00DF3ADB" w:rsidRDefault="00DF3ADB" w:rsidP="00C1637A">
      <w:pPr>
        <w:pStyle w:val="NoSpacing"/>
        <w:spacing w:line="276" w:lineRule="auto"/>
      </w:pPr>
    </w:p>
    <w:p w14:paraId="5C5C7657" w14:textId="77777777" w:rsidR="00B72752" w:rsidRDefault="00374122" w:rsidP="00C1637A">
      <w:pPr>
        <w:pStyle w:val="NoSpacing"/>
        <w:spacing w:line="276" w:lineRule="auto"/>
      </w:pPr>
      <w:r>
        <w:lastRenderedPageBreak/>
        <w:t xml:space="preserve">3. </w:t>
      </w:r>
      <w:r w:rsidR="00886F96" w:rsidRPr="002455F3">
        <w:t xml:space="preserve">Regarding the </w:t>
      </w:r>
      <w:r w:rsidR="00D23E7D">
        <w:t xml:space="preserve">intractable </w:t>
      </w:r>
      <w:r w:rsidR="00E63802">
        <w:t>prevalence</w:t>
      </w:r>
      <w:r w:rsidR="00886F96" w:rsidRPr="002455F3">
        <w:t xml:space="preserve"> of </w:t>
      </w:r>
      <w:r w:rsidR="005F373A">
        <w:t>m</w:t>
      </w:r>
      <w:r w:rsidR="00DF3ADB" w:rsidRPr="002455F3">
        <w:t>ercury</w:t>
      </w:r>
      <w:r w:rsidR="002455F3">
        <w:t>-impaired waters across the state, MPCA should</w:t>
      </w:r>
      <w:r w:rsidR="004A161B">
        <w:t xml:space="preserve"> </w:t>
      </w:r>
      <w:r w:rsidR="00DF3ADB" w:rsidRPr="00F355E3">
        <w:t xml:space="preserve">require compliance </w:t>
      </w:r>
      <w:r w:rsidR="00F355E3">
        <w:t>with</w:t>
      </w:r>
      <w:r w:rsidR="00DF3ADB" w:rsidRPr="00F355E3">
        <w:t xml:space="preserve"> pollutant load reductions by all sectors</w:t>
      </w:r>
      <w:r w:rsidR="00C40238">
        <w:t xml:space="preserve"> as defined in the </w:t>
      </w:r>
      <w:r w:rsidR="00E63802">
        <w:t xml:space="preserve">2008 </w:t>
      </w:r>
      <w:r w:rsidR="00C40238">
        <w:t xml:space="preserve">statewide mercury </w:t>
      </w:r>
      <w:commentRangeStart w:id="8"/>
      <w:commentRangeStart w:id="9"/>
      <w:r w:rsidR="00C40238">
        <w:t>TMDL</w:t>
      </w:r>
      <w:commentRangeEnd w:id="8"/>
      <w:r w:rsidR="00917D1E">
        <w:rPr>
          <w:rStyle w:val="CommentReference"/>
          <w:sz w:val="24"/>
          <w:szCs w:val="24"/>
        </w:rPr>
        <w:commentReference w:id="8"/>
      </w:r>
      <w:commentRangeEnd w:id="9"/>
      <w:r w:rsidR="00E467A5">
        <w:rPr>
          <w:rStyle w:val="CommentReference"/>
          <w:sz w:val="24"/>
          <w:szCs w:val="24"/>
        </w:rPr>
        <w:commentReference w:id="9"/>
      </w:r>
      <w:r w:rsidR="00090546">
        <w:t>.</w:t>
      </w:r>
      <w:r w:rsidR="00A84920">
        <w:t xml:space="preserve"> </w:t>
      </w:r>
    </w:p>
    <w:p w14:paraId="1ED98DF9" w14:textId="77777777" w:rsidR="00B72752" w:rsidRDefault="00B72752" w:rsidP="00C1637A">
      <w:pPr>
        <w:pStyle w:val="NoSpacing"/>
        <w:spacing w:line="276" w:lineRule="auto"/>
      </w:pPr>
    </w:p>
    <w:p w14:paraId="4C953869" w14:textId="0BEAF6DF" w:rsidR="00DF3ADB" w:rsidRDefault="00B72752" w:rsidP="00C1637A">
      <w:pPr>
        <w:pStyle w:val="NoSpacing"/>
        <w:spacing w:line="276" w:lineRule="auto"/>
      </w:pPr>
      <w:r>
        <w:t xml:space="preserve">4. </w:t>
      </w:r>
      <w:r w:rsidR="00090546">
        <w:t>The MPCA should also</w:t>
      </w:r>
      <w:r w:rsidR="00C40238">
        <w:t xml:space="preserve"> expedite the </w:t>
      </w:r>
      <w:r w:rsidR="000D4D05">
        <w:t xml:space="preserve">completion and implementation of the necessary watershed-specific mercury TMDL studies </w:t>
      </w:r>
      <w:r w:rsidR="00284CDC">
        <w:t xml:space="preserve">that define the </w:t>
      </w:r>
      <w:r w:rsidR="00090546">
        <w:t xml:space="preserve">additional mercury </w:t>
      </w:r>
      <w:r w:rsidR="00284CDC">
        <w:t xml:space="preserve">load reductions required to bring all Minnesota waters into compliance with the </w:t>
      </w:r>
      <w:r w:rsidR="004A161B">
        <w:t>mercury water quality and fish tissue criteria.</w:t>
      </w:r>
    </w:p>
    <w:p w14:paraId="2FA09A12" w14:textId="77777777" w:rsidR="00F31A13" w:rsidRPr="00DF3ADB" w:rsidRDefault="00F31A13" w:rsidP="00C1637A">
      <w:pPr>
        <w:pStyle w:val="NoSpacing"/>
        <w:spacing w:line="276" w:lineRule="auto"/>
        <w:ind w:left="720"/>
      </w:pPr>
    </w:p>
    <w:p w14:paraId="227EA4CE" w14:textId="6ABAE6BD" w:rsidR="00F31A13" w:rsidRPr="00A66D65" w:rsidRDefault="00B72752" w:rsidP="00C1637A">
      <w:pPr>
        <w:spacing w:line="276" w:lineRule="auto"/>
      </w:pPr>
      <w:r>
        <w:t>5</w:t>
      </w:r>
      <w:r w:rsidR="006809C7" w:rsidRPr="006809C7">
        <w:t xml:space="preserve">. </w:t>
      </w:r>
      <w:r>
        <w:t>The Task Force e</w:t>
      </w:r>
      <w:r w:rsidR="00A13978">
        <w:t>ndorse</w:t>
      </w:r>
      <w:r>
        <w:t>s</w:t>
      </w:r>
      <w:r w:rsidR="00A13978">
        <w:t xml:space="preserve"> implementation of </w:t>
      </w:r>
      <w:hyperlink r:id="rId12" w:history="1">
        <w:r w:rsidR="00F31A13" w:rsidRPr="00A66D65">
          <w:rPr>
            <w:color w:val="0000FF"/>
            <w:u w:val="single"/>
          </w:rPr>
          <w:t>Minnesota’s PFAS Blueprint | Minnesota Pollution Control Agency</w:t>
        </w:r>
      </w:hyperlink>
      <w:r w:rsidR="00A13978">
        <w:t xml:space="preserve">, </w:t>
      </w:r>
      <w:commentRangeStart w:id="10"/>
      <w:r w:rsidR="00A13978">
        <w:t>including</w:t>
      </w:r>
      <w:commentRangeEnd w:id="10"/>
      <w:r w:rsidR="00F005ED">
        <w:rPr>
          <w:rStyle w:val="CommentReference"/>
          <w:sz w:val="24"/>
          <w:szCs w:val="24"/>
        </w:rPr>
        <w:commentReference w:id="10"/>
      </w:r>
      <w:r w:rsidR="00A13978">
        <w:t>:</w:t>
      </w:r>
    </w:p>
    <w:p w14:paraId="3884310B" w14:textId="6C869254" w:rsidR="00BB0543" w:rsidRPr="00A66D65" w:rsidRDefault="00BB0543" w:rsidP="00C1637A">
      <w:pPr>
        <w:pStyle w:val="ListParagraph"/>
        <w:numPr>
          <w:ilvl w:val="0"/>
          <w:numId w:val="4"/>
        </w:numPr>
        <w:spacing w:line="276" w:lineRule="auto"/>
        <w:rPr>
          <w:b/>
          <w:bCs/>
        </w:rPr>
      </w:pPr>
      <w:r w:rsidRPr="00A66D65">
        <w:t>PFAS source reduction: Amara’s Law implementation as MPCA develop</w:t>
      </w:r>
      <w:r w:rsidR="00E32A21">
        <w:t>s</w:t>
      </w:r>
      <w:r w:rsidRPr="00A66D65">
        <w:t xml:space="preserve"> administrative rules to implement the law (draft rule and SONAR for currently unavoidable use (CUU) rules anticipated in 2027) </w:t>
      </w:r>
    </w:p>
    <w:p w14:paraId="3F63857D" w14:textId="0BEE650B" w:rsidR="00BB0543" w:rsidRPr="00BD3003" w:rsidRDefault="00022CEA" w:rsidP="00C1637A">
      <w:pPr>
        <w:pStyle w:val="ListParagraph"/>
        <w:numPr>
          <w:ilvl w:val="0"/>
          <w:numId w:val="4"/>
        </w:numPr>
        <w:spacing w:line="276" w:lineRule="auto"/>
        <w:rPr>
          <w:b/>
          <w:bCs/>
        </w:rPr>
      </w:pPr>
      <w:r>
        <w:rPr>
          <w:color w:val="EE0000"/>
        </w:rPr>
        <w:t xml:space="preserve">Continue to </w:t>
      </w:r>
      <w:r>
        <w:t>i</w:t>
      </w:r>
      <w:r w:rsidR="00BB0543" w:rsidRPr="00BD3003">
        <w:t xml:space="preserve">mplement MPCA’s PFAS in Biosolids </w:t>
      </w:r>
      <w:commentRangeStart w:id="11"/>
      <w:r w:rsidR="00BB0543" w:rsidRPr="00BD3003">
        <w:t>Strategy</w:t>
      </w:r>
      <w:commentRangeEnd w:id="11"/>
      <w:r w:rsidR="0087377D" w:rsidRPr="00BD3003">
        <w:rPr>
          <w:rStyle w:val="CommentReference"/>
          <w:sz w:val="24"/>
          <w:szCs w:val="24"/>
        </w:rPr>
        <w:commentReference w:id="11"/>
      </w:r>
      <w:r w:rsidR="00BB0543" w:rsidRPr="00BD3003">
        <w:t>, which requires wastewater treatment plants to test their sludge for PFAS levels before they land apply.</w:t>
      </w:r>
      <w:r w:rsidR="00651E9C">
        <w:t xml:space="preserve"> </w:t>
      </w:r>
      <w:r w:rsidR="00651E9C">
        <w:rPr>
          <w:color w:val="EE0000"/>
        </w:rPr>
        <w:t xml:space="preserve">To remediate the PFAS that </w:t>
      </w:r>
      <w:r w:rsidR="0084207C">
        <w:rPr>
          <w:color w:val="EE0000"/>
        </w:rPr>
        <w:t>are</w:t>
      </w:r>
      <w:r w:rsidR="00651E9C">
        <w:rPr>
          <w:color w:val="EE0000"/>
        </w:rPr>
        <w:t xml:space="preserve"> already in the environment</w:t>
      </w:r>
      <w:r w:rsidR="00E2752B">
        <w:rPr>
          <w:color w:val="EE0000"/>
        </w:rPr>
        <w:t xml:space="preserve"> from land application</w:t>
      </w:r>
      <w:r w:rsidR="001048EB">
        <w:rPr>
          <w:color w:val="EE0000"/>
        </w:rPr>
        <w:t>,</w:t>
      </w:r>
      <w:r w:rsidR="00457B0F">
        <w:rPr>
          <w:color w:val="EE0000"/>
        </w:rPr>
        <w:t xml:space="preserve"> MN should investigate </w:t>
      </w:r>
      <w:r w:rsidR="00253CAF">
        <w:rPr>
          <w:color w:val="EE0000"/>
        </w:rPr>
        <w:t>sensitive hydrogeological areas of the state</w:t>
      </w:r>
      <w:r w:rsidR="00A1456B">
        <w:rPr>
          <w:color w:val="EE0000"/>
        </w:rPr>
        <w:t xml:space="preserve"> for legacy PFAS contamination in soils and shallow groundwater</w:t>
      </w:r>
      <w:r w:rsidR="001048EB">
        <w:rPr>
          <w:color w:val="EE0000"/>
        </w:rPr>
        <w:t xml:space="preserve"> from land-applied biosolids.</w:t>
      </w:r>
      <w:r w:rsidR="00F70F78">
        <w:rPr>
          <w:color w:val="EE0000"/>
        </w:rPr>
        <w:t xml:space="preserve"> The focus should be on </w:t>
      </w:r>
      <w:r w:rsidR="00C77D65">
        <w:rPr>
          <w:color w:val="EE0000"/>
        </w:rPr>
        <w:t>industrially impacted</w:t>
      </w:r>
      <w:r w:rsidR="00F70F78">
        <w:rPr>
          <w:color w:val="EE0000"/>
        </w:rPr>
        <w:t xml:space="preserve"> biosolids (see examples from Maine)</w:t>
      </w:r>
      <w:r w:rsidR="00C77D65">
        <w:rPr>
          <w:color w:val="EE0000"/>
        </w:rPr>
        <w:t xml:space="preserve">. This activity could be funded by the Clean Water Council, LCCMR, or </w:t>
      </w:r>
      <w:r w:rsidR="009A3EFA">
        <w:rPr>
          <w:color w:val="EE0000"/>
        </w:rPr>
        <w:t>legislative</w:t>
      </w:r>
      <w:r w:rsidR="00C77D65">
        <w:rPr>
          <w:color w:val="EE0000"/>
        </w:rPr>
        <w:t xml:space="preserve"> </w:t>
      </w:r>
      <w:commentRangeStart w:id="12"/>
      <w:r w:rsidR="00C77D65">
        <w:rPr>
          <w:color w:val="EE0000"/>
        </w:rPr>
        <w:t>appropriation</w:t>
      </w:r>
      <w:commentRangeEnd w:id="12"/>
      <w:r w:rsidR="00AB3AE9">
        <w:rPr>
          <w:rStyle w:val="CommentReference"/>
          <w:color w:val="EE0000"/>
          <w:sz w:val="24"/>
          <w:szCs w:val="24"/>
        </w:rPr>
        <w:commentReference w:id="12"/>
      </w:r>
      <w:r w:rsidR="00C77D65">
        <w:rPr>
          <w:color w:val="EE0000"/>
        </w:rPr>
        <w:t>.</w:t>
      </w:r>
    </w:p>
    <w:p w14:paraId="386E37A7" w14:textId="670C9B6E" w:rsidR="00087DD0" w:rsidRPr="00A66D65" w:rsidRDefault="00087DD0" w:rsidP="00C1637A">
      <w:pPr>
        <w:pStyle w:val="ListParagraph"/>
        <w:numPr>
          <w:ilvl w:val="0"/>
          <w:numId w:val="4"/>
        </w:numPr>
        <w:spacing w:line="276" w:lineRule="auto"/>
        <w:rPr>
          <w:b/>
          <w:bCs/>
        </w:rPr>
      </w:pPr>
      <w:r w:rsidRPr="00A66D65">
        <w:t xml:space="preserve">Finalize statewide aquatic life standards for PFOS and PFOA and write PFAS limits into industrial and municipal wastewater permits as </w:t>
      </w:r>
      <w:commentRangeStart w:id="13"/>
      <w:commentRangeStart w:id="14"/>
      <w:r w:rsidRPr="00A66D65">
        <w:t>needed</w:t>
      </w:r>
      <w:commentRangeEnd w:id="13"/>
      <w:r w:rsidR="0029678D" w:rsidRPr="00A66D65">
        <w:rPr>
          <w:rStyle w:val="CommentReference"/>
          <w:sz w:val="24"/>
          <w:szCs w:val="24"/>
        </w:rPr>
        <w:commentReference w:id="13"/>
      </w:r>
      <w:commentRangeEnd w:id="14"/>
      <w:r w:rsidR="001C72F1" w:rsidRPr="00A66D65">
        <w:rPr>
          <w:rStyle w:val="CommentReference"/>
          <w:sz w:val="24"/>
          <w:szCs w:val="24"/>
        </w:rPr>
        <w:commentReference w:id="14"/>
      </w:r>
      <w:r w:rsidRPr="00A66D65">
        <w:t>.</w:t>
      </w:r>
    </w:p>
    <w:p w14:paraId="76CEFB3C" w14:textId="43964A72" w:rsidR="00F31A13" w:rsidRDefault="00B72752" w:rsidP="00C1637A">
      <w:pPr>
        <w:pStyle w:val="NoSpacing"/>
        <w:spacing w:line="276" w:lineRule="auto"/>
      </w:pPr>
      <w:r>
        <w:t>6</w:t>
      </w:r>
      <w:r w:rsidR="006809C7" w:rsidRPr="006809C7">
        <w:t xml:space="preserve">. </w:t>
      </w:r>
      <w:r w:rsidR="00641A6E">
        <w:t>The Task Force e</w:t>
      </w:r>
      <w:r w:rsidR="00A13978">
        <w:t>ndorse</w:t>
      </w:r>
      <w:r w:rsidR="00641A6E">
        <w:t>s</w:t>
      </w:r>
      <w:r w:rsidR="00A13978">
        <w:t xml:space="preserve"> </w:t>
      </w:r>
      <w:r w:rsidR="00E479FE">
        <w:t>implementation of practices defined in</w:t>
      </w:r>
      <w:r w:rsidR="00F31A13">
        <w:rPr>
          <w:b/>
          <w:bCs/>
        </w:rPr>
        <w:t xml:space="preserve">  </w:t>
      </w:r>
      <w:hyperlink r:id="rId13" w:history="1">
        <w:r w:rsidR="00F31A13" w:rsidRPr="00A85820">
          <w:rPr>
            <w:color w:val="0000FF"/>
            <w:u w:val="single"/>
          </w:rPr>
          <w:t>Chloride reduction program | Minnesota Pollution Control Agency</w:t>
        </w:r>
      </w:hyperlink>
      <w:r w:rsidR="00E479FE">
        <w:t>, including:</w:t>
      </w:r>
    </w:p>
    <w:p w14:paraId="770A5D01" w14:textId="01CACE92" w:rsidR="00F31A13" w:rsidRPr="000879C3" w:rsidRDefault="00814C99" w:rsidP="00C1637A">
      <w:pPr>
        <w:pStyle w:val="NoSpacing"/>
        <w:numPr>
          <w:ilvl w:val="0"/>
          <w:numId w:val="3"/>
        </w:numPr>
        <w:spacing w:line="276" w:lineRule="auto"/>
      </w:pPr>
      <w:r w:rsidRPr="000879C3">
        <w:t xml:space="preserve">Institute a </w:t>
      </w:r>
      <w:r w:rsidR="00F31A13" w:rsidRPr="000879C3">
        <w:t>Smart Salting certification</w:t>
      </w:r>
      <w:r w:rsidRPr="000879C3">
        <w:t xml:space="preserve"> program that </w:t>
      </w:r>
      <w:r w:rsidR="00E04CA4" w:rsidRPr="000879C3">
        <w:t>exempts certified operators</w:t>
      </w:r>
      <w:r w:rsidR="002309E3">
        <w:rPr>
          <w:color w:val="EE0000"/>
        </w:rPr>
        <w:t xml:space="preserve"> for private sector </w:t>
      </w:r>
      <w:r w:rsidR="007962FF">
        <w:rPr>
          <w:color w:val="EE0000"/>
        </w:rPr>
        <w:t>businesses</w:t>
      </w:r>
      <w:r w:rsidR="00E04CA4" w:rsidRPr="000879C3">
        <w:t xml:space="preserve"> from </w:t>
      </w:r>
      <w:commentRangeStart w:id="15"/>
      <w:r w:rsidR="00B6376C" w:rsidRPr="000879C3">
        <w:t>liability</w:t>
      </w:r>
      <w:commentRangeEnd w:id="15"/>
      <w:r w:rsidR="00EF5909" w:rsidRPr="000879C3">
        <w:rPr>
          <w:rStyle w:val="CommentReference"/>
          <w:sz w:val="24"/>
          <w:szCs w:val="24"/>
        </w:rPr>
        <w:commentReference w:id="15"/>
      </w:r>
      <w:r w:rsidR="00B6376C" w:rsidRPr="000879C3">
        <w:t>.</w:t>
      </w:r>
      <w:r w:rsidR="00F31A13" w:rsidRPr="000879C3">
        <w:t xml:space="preserve"> </w:t>
      </w:r>
    </w:p>
    <w:p w14:paraId="639EDF28" w14:textId="440928A5" w:rsidR="00F31A13" w:rsidRDefault="00013830" w:rsidP="00C1637A">
      <w:pPr>
        <w:pStyle w:val="NoSpacing"/>
        <w:spacing w:line="276" w:lineRule="auto"/>
        <w:ind w:left="720"/>
      </w:pPr>
      <w:r>
        <w:t>(</w:t>
      </w:r>
      <w:r w:rsidR="00F31A13">
        <w:t xml:space="preserve">Check with Legislators – any movement on legislation this </w:t>
      </w:r>
      <w:commentRangeStart w:id="16"/>
      <w:r w:rsidR="00F31A13">
        <w:t>session</w:t>
      </w:r>
      <w:commentRangeEnd w:id="16"/>
      <w:r w:rsidR="00C1319D">
        <w:rPr>
          <w:rStyle w:val="CommentReference"/>
          <w:sz w:val="24"/>
          <w:szCs w:val="24"/>
        </w:rPr>
        <w:commentReference w:id="16"/>
      </w:r>
      <w:r w:rsidR="00F31A13">
        <w:t>?</w:t>
      </w:r>
      <w:r>
        <w:t>)</w:t>
      </w:r>
    </w:p>
    <w:p w14:paraId="5E88DAA1" w14:textId="7D893400" w:rsidR="00F31A13" w:rsidRDefault="00F31A13" w:rsidP="00C1637A">
      <w:pPr>
        <w:spacing w:line="276" w:lineRule="auto"/>
        <w:rPr>
          <w:b/>
          <w:bCs/>
        </w:rPr>
      </w:pPr>
    </w:p>
    <w:p w14:paraId="78384923" w14:textId="51AED275" w:rsidR="00F31A13" w:rsidRPr="006809C7" w:rsidRDefault="00B72752" w:rsidP="00C1637A">
      <w:pPr>
        <w:spacing w:line="276" w:lineRule="auto"/>
      </w:pPr>
      <w:r>
        <w:t>7</w:t>
      </w:r>
      <w:r w:rsidR="006809C7" w:rsidRPr="006809C7">
        <w:t xml:space="preserve">. </w:t>
      </w:r>
      <w:r w:rsidR="00F31A13" w:rsidRPr="006809C7">
        <w:t>Sulfate</w:t>
      </w:r>
    </w:p>
    <w:p w14:paraId="7B388F94" w14:textId="3A5E295B" w:rsidR="00F31A13" w:rsidRDefault="00F160C5" w:rsidP="00C1637A">
      <w:pPr>
        <w:pStyle w:val="NoSpacing"/>
        <w:spacing w:line="276" w:lineRule="auto"/>
        <w:ind w:left="720"/>
      </w:pPr>
      <w:r>
        <w:t xml:space="preserve">The Task Force recommends that </w:t>
      </w:r>
      <w:r w:rsidR="00F31A13" w:rsidRPr="000879C3">
        <w:t xml:space="preserve">MPCA continue to implement and enforce the 10 mg/l sulfate criterion applicable to wild rice waters through monitoring, assessment, incorporation of effluent limits in discharge permits where receiving waters are wild rice waters, and restoration of wild rice waters impaired by sulfate </w:t>
      </w:r>
      <w:r w:rsidR="00F31A13" w:rsidRPr="000879C3">
        <w:lastRenderedPageBreak/>
        <w:t xml:space="preserve">loadings. </w:t>
      </w:r>
      <w:commentRangeStart w:id="17"/>
      <w:commentRangeStart w:id="18"/>
      <w:r w:rsidR="00F31A13" w:rsidRPr="000879C3">
        <w:t>Financial</w:t>
      </w:r>
      <w:commentRangeEnd w:id="17"/>
      <w:r w:rsidR="00EB5BC7" w:rsidRPr="000879C3">
        <w:rPr>
          <w:rStyle w:val="CommentReference"/>
          <w:sz w:val="24"/>
          <w:szCs w:val="24"/>
        </w:rPr>
        <w:commentReference w:id="17"/>
      </w:r>
      <w:commentRangeEnd w:id="18"/>
      <w:r w:rsidR="003A38B1" w:rsidRPr="000879C3">
        <w:rPr>
          <w:rStyle w:val="CommentReference"/>
          <w:sz w:val="24"/>
          <w:szCs w:val="24"/>
        </w:rPr>
        <w:commentReference w:id="18"/>
      </w:r>
      <w:r w:rsidR="00F31A13" w:rsidRPr="000879C3">
        <w:t xml:space="preserve"> support for wastewater treatment</w:t>
      </w:r>
      <w:r w:rsidR="0085706A">
        <w:t xml:space="preserve"> upgrades</w:t>
      </w:r>
      <w:r w:rsidR="00F31A13" w:rsidRPr="000879C3">
        <w:t xml:space="preserve"> </w:t>
      </w:r>
      <w:r w:rsidR="00F73A1F">
        <w:t xml:space="preserve">should </w:t>
      </w:r>
      <w:r w:rsidR="00F31A13" w:rsidRPr="000879C3">
        <w:t>continue to be made available to municipal dischargers</w:t>
      </w:r>
      <w:r w:rsidR="00F73A1F">
        <w:t xml:space="preserve"> subject to sulfate permit limits</w:t>
      </w:r>
      <w:r w:rsidR="00F31A13" w:rsidRPr="000879C3">
        <w:t>.</w:t>
      </w:r>
    </w:p>
    <w:p w14:paraId="7BDDFE1B" w14:textId="77777777" w:rsidR="00F31A13" w:rsidRPr="00F31A13" w:rsidRDefault="00F31A13" w:rsidP="00C1637A">
      <w:pPr>
        <w:spacing w:line="276" w:lineRule="auto"/>
      </w:pPr>
    </w:p>
    <w:p w14:paraId="24236371" w14:textId="5997B6A8" w:rsidR="00F31A13" w:rsidRPr="006809C7" w:rsidRDefault="00B72752" w:rsidP="00C1637A">
      <w:pPr>
        <w:spacing w:line="276" w:lineRule="auto"/>
      </w:pPr>
      <w:r>
        <w:t>8</w:t>
      </w:r>
      <w:r w:rsidR="00A610ED">
        <w:t xml:space="preserve">. </w:t>
      </w:r>
      <w:r w:rsidR="00F31A13" w:rsidRPr="006809C7">
        <w:t>HABs</w:t>
      </w:r>
    </w:p>
    <w:p w14:paraId="5B7B534C" w14:textId="59D02F30" w:rsidR="00F31A13" w:rsidRPr="0052107F" w:rsidRDefault="00F31A13" w:rsidP="00C1637A">
      <w:pPr>
        <w:shd w:val="clear" w:color="auto" w:fill="FFFFFF"/>
        <w:spacing w:before="100" w:beforeAutospacing="1" w:after="100" w:afterAutospacing="1" w:line="276" w:lineRule="auto"/>
        <w:ind w:left="720"/>
        <w:textAlignment w:val="baseline"/>
        <w:rPr>
          <w:rFonts w:cs="Helvetica"/>
          <w:color w:val="1B1B1B"/>
          <w:shd w:val="clear" w:color="auto" w:fill="FFFFFF"/>
        </w:rPr>
      </w:pPr>
      <w:r w:rsidRPr="0052107F">
        <w:rPr>
          <w:rFonts w:cs="Helvetica"/>
          <w:color w:val="1B1B1B"/>
          <w:shd w:val="clear" w:color="auto" w:fill="FFFFFF"/>
        </w:rPr>
        <w:t xml:space="preserve">There is a pressing need to develop data, methods, and tools to advance the understanding of adverse </w:t>
      </w:r>
      <w:r w:rsidR="002162A5">
        <w:rPr>
          <w:rFonts w:cs="Helvetica"/>
          <w:color w:val="1B1B1B"/>
          <w:shd w:val="clear" w:color="auto" w:fill="FFFFFF"/>
        </w:rPr>
        <w:t xml:space="preserve">ecological and </w:t>
      </w:r>
      <w:r w:rsidRPr="0052107F">
        <w:rPr>
          <w:rFonts w:cs="Helvetica"/>
          <w:color w:val="1B1B1B"/>
          <w:shd w:val="clear" w:color="auto" w:fill="FFFFFF"/>
        </w:rPr>
        <w:t xml:space="preserve">health impacts of cyanobacteria and cyanotoxins, especially those </w:t>
      </w:r>
      <w:r w:rsidR="00A85315">
        <w:rPr>
          <w:rFonts w:cs="Helvetica"/>
          <w:color w:val="1B1B1B"/>
          <w:shd w:val="clear" w:color="auto" w:fill="FFFFFF"/>
        </w:rPr>
        <w:t>health impacts</w:t>
      </w:r>
      <w:r w:rsidRPr="0052107F">
        <w:rPr>
          <w:rFonts w:cs="Helvetica"/>
          <w:color w:val="1B1B1B"/>
          <w:shd w:val="clear" w:color="auto" w:fill="FFFFFF"/>
        </w:rPr>
        <w:t xml:space="preserve"> </w:t>
      </w:r>
      <w:r w:rsidR="0047227D">
        <w:rPr>
          <w:rFonts w:cs="Helvetica"/>
          <w:color w:val="1B1B1B"/>
          <w:shd w:val="clear" w:color="auto" w:fill="FFFFFF"/>
        </w:rPr>
        <w:t>to</w:t>
      </w:r>
      <w:r w:rsidRPr="0052107F">
        <w:rPr>
          <w:rFonts w:cs="Helvetica"/>
          <w:color w:val="1B1B1B"/>
          <w:shd w:val="clear" w:color="auto" w:fill="FFFFFF"/>
        </w:rPr>
        <w:t xml:space="preserve"> people, other animals and plants that are associated with exposure to </w:t>
      </w:r>
      <w:r w:rsidR="002162A5">
        <w:rPr>
          <w:rFonts w:cs="Helvetica"/>
          <w:color w:val="1B1B1B"/>
          <w:shd w:val="clear" w:color="auto" w:fill="FFFFFF"/>
        </w:rPr>
        <w:t>toxins</w:t>
      </w:r>
      <w:r w:rsidRPr="0052107F">
        <w:rPr>
          <w:rFonts w:cs="Helvetica"/>
          <w:color w:val="1B1B1B"/>
          <w:shd w:val="clear" w:color="auto" w:fill="FFFFFF"/>
        </w:rPr>
        <w:t xml:space="preserve"> from both planktonic and benthic cyanobacteria.</w:t>
      </w:r>
      <w:r>
        <w:rPr>
          <w:rFonts w:cs="Helvetica"/>
          <w:color w:val="1B1B1B"/>
          <w:shd w:val="clear" w:color="auto" w:fill="FFFFFF"/>
        </w:rPr>
        <w:t xml:space="preserve"> </w:t>
      </w:r>
      <w:r w:rsidRPr="0045742F">
        <w:rPr>
          <w:rFonts w:cs="Helvetica"/>
          <w:color w:val="1B1B1B"/>
          <w:shd w:val="clear" w:color="auto" w:fill="FFFFFF"/>
        </w:rPr>
        <w:t xml:space="preserve">Along with a general recommendation for reducing excess nutrient loading, </w:t>
      </w:r>
      <w:r w:rsidR="0047227D">
        <w:rPr>
          <w:rFonts w:cs="Helvetica"/>
          <w:color w:val="1B1B1B"/>
          <w:shd w:val="clear" w:color="auto" w:fill="FFFFFF"/>
        </w:rPr>
        <w:t xml:space="preserve">the Task Force </w:t>
      </w:r>
      <w:r w:rsidRPr="0045742F">
        <w:rPr>
          <w:rFonts w:cs="Helvetica"/>
          <w:color w:val="1B1B1B"/>
          <w:shd w:val="clear" w:color="auto" w:fill="FFFFFF"/>
        </w:rPr>
        <w:t>recommend</w:t>
      </w:r>
      <w:r w:rsidR="0047227D">
        <w:rPr>
          <w:rFonts w:cs="Helvetica"/>
          <w:color w:val="1B1B1B"/>
          <w:shd w:val="clear" w:color="auto" w:fill="FFFFFF"/>
        </w:rPr>
        <w:t>s</w:t>
      </w:r>
      <w:r w:rsidRPr="0045742F">
        <w:rPr>
          <w:rFonts w:cs="Helvetica"/>
          <w:color w:val="1B1B1B"/>
          <w:shd w:val="clear" w:color="auto" w:fill="FFFFFF"/>
        </w:rPr>
        <w:t xml:space="preserve"> financial and technical support for additional research to support </w:t>
      </w:r>
      <w:r w:rsidR="0045742F">
        <w:rPr>
          <w:rFonts w:cs="Helvetica"/>
          <w:color w:val="1B1B1B"/>
          <w:shd w:val="clear" w:color="auto" w:fill="FFFFFF"/>
        </w:rPr>
        <w:t xml:space="preserve">HAB-specific </w:t>
      </w:r>
      <w:r w:rsidRPr="0045742F">
        <w:rPr>
          <w:rFonts w:cs="Helvetica"/>
          <w:color w:val="1B1B1B"/>
          <w:shd w:val="clear" w:color="auto" w:fill="FFFFFF"/>
        </w:rPr>
        <w:t>monitoring, assessment, and regulatory controls where feasible</w:t>
      </w:r>
      <w:r w:rsidR="0047227D">
        <w:rPr>
          <w:rFonts w:cs="Helvetica"/>
          <w:color w:val="1B1B1B"/>
          <w:shd w:val="clear" w:color="auto" w:fill="FFFFFF"/>
        </w:rPr>
        <w:t xml:space="preserve"> and supported by </w:t>
      </w:r>
      <w:commentRangeStart w:id="19"/>
      <w:r w:rsidR="0047227D">
        <w:rPr>
          <w:rFonts w:cs="Helvetica"/>
          <w:color w:val="1B1B1B"/>
          <w:shd w:val="clear" w:color="auto" w:fill="FFFFFF"/>
        </w:rPr>
        <w:t>science</w:t>
      </w:r>
      <w:commentRangeEnd w:id="19"/>
      <w:r w:rsidR="00105512">
        <w:rPr>
          <w:rStyle w:val="CommentReference"/>
          <w:rFonts w:cs="Helvetica"/>
          <w:color w:val="1B1B1B"/>
          <w:sz w:val="24"/>
          <w:szCs w:val="24"/>
          <w:shd w:val="clear" w:color="auto" w:fill="FFFFFF"/>
        </w:rPr>
        <w:commentReference w:id="19"/>
      </w:r>
      <w:r w:rsidR="0047227D">
        <w:rPr>
          <w:rFonts w:cs="Helvetica"/>
          <w:color w:val="1B1B1B"/>
          <w:shd w:val="clear" w:color="auto" w:fill="FFFFFF"/>
        </w:rPr>
        <w:t>.</w:t>
      </w:r>
    </w:p>
    <w:p w14:paraId="7BFF833B" w14:textId="41724445" w:rsidR="00D741D1" w:rsidRPr="00A610ED" w:rsidRDefault="00B72752" w:rsidP="00C1637A">
      <w:pPr>
        <w:spacing w:line="276" w:lineRule="auto"/>
      </w:pPr>
      <w:r>
        <w:t>9</w:t>
      </w:r>
      <w:r w:rsidR="00A610ED" w:rsidRPr="00A610ED">
        <w:t xml:space="preserve">. </w:t>
      </w:r>
      <w:r w:rsidR="00D741D1" w:rsidRPr="00A610ED">
        <w:t>Pesticides</w:t>
      </w:r>
    </w:p>
    <w:p w14:paraId="7E8B2A5D" w14:textId="6EA8A879" w:rsidR="00D741D1" w:rsidRPr="00FF6140" w:rsidRDefault="00D741D1" w:rsidP="00C1637A">
      <w:pPr>
        <w:pStyle w:val="ListParagraph"/>
        <w:numPr>
          <w:ilvl w:val="0"/>
          <w:numId w:val="8"/>
        </w:numPr>
        <w:spacing w:line="276" w:lineRule="auto"/>
        <w:rPr>
          <w:highlight w:val="yellow"/>
        </w:rPr>
      </w:pPr>
      <w:r w:rsidRPr="00FF6140">
        <w:rPr>
          <w:highlight w:val="yellow"/>
        </w:rPr>
        <w:t xml:space="preserve">The state </w:t>
      </w:r>
      <w:r w:rsidR="00560CF1" w:rsidRPr="00FF6140">
        <w:rPr>
          <w:highlight w:val="yellow"/>
        </w:rPr>
        <w:t>should require</w:t>
      </w:r>
      <w:r w:rsidRPr="00FF6140">
        <w:rPr>
          <w:highlight w:val="yellow"/>
        </w:rPr>
        <w:t xml:space="preserve"> integrated pest management </w:t>
      </w:r>
      <w:r w:rsidR="00E479FE" w:rsidRPr="00FF6140">
        <w:rPr>
          <w:highlight w:val="yellow"/>
        </w:rPr>
        <w:t>(</w:t>
      </w:r>
      <w:commentRangeStart w:id="20"/>
      <w:commentRangeStart w:id="21"/>
      <w:r w:rsidR="00E479FE" w:rsidRPr="00FF6140">
        <w:rPr>
          <w:highlight w:val="yellow"/>
        </w:rPr>
        <w:t>IPM</w:t>
      </w:r>
      <w:commentRangeEnd w:id="20"/>
      <w:r w:rsidR="00B112C6" w:rsidRPr="00FF6140">
        <w:rPr>
          <w:rStyle w:val="CommentReference"/>
          <w:sz w:val="24"/>
          <w:szCs w:val="24"/>
          <w:highlight w:val="yellow"/>
        </w:rPr>
        <w:commentReference w:id="20"/>
      </w:r>
      <w:commentRangeEnd w:id="21"/>
      <w:r w:rsidR="00EF7DD3" w:rsidRPr="00FF6140">
        <w:rPr>
          <w:rStyle w:val="CommentReference"/>
          <w:sz w:val="24"/>
          <w:szCs w:val="24"/>
          <w:highlight w:val="yellow"/>
        </w:rPr>
        <w:commentReference w:id="21"/>
      </w:r>
      <w:r w:rsidR="00E479FE" w:rsidRPr="00FF6140">
        <w:rPr>
          <w:highlight w:val="yellow"/>
        </w:rPr>
        <w:t xml:space="preserve">) </w:t>
      </w:r>
      <w:r w:rsidRPr="00FF6140">
        <w:rPr>
          <w:highlight w:val="yellow"/>
        </w:rPr>
        <w:t>techniques in its management of</w:t>
      </w:r>
      <w:r w:rsidRPr="00FF6140">
        <w:rPr>
          <w:rFonts w:ascii="Arial" w:hAnsi="Arial" w:cs="Arial"/>
          <w:highlight w:val="yellow"/>
        </w:rPr>
        <w:t>​</w:t>
      </w:r>
      <w:r w:rsidRPr="00FF6140">
        <w:rPr>
          <w:highlight w:val="yellow"/>
        </w:rPr>
        <w:t xml:space="preserve"> public lands, including roadside rights-of-way, parks, and forests; and </w:t>
      </w:r>
      <w:r w:rsidR="00560CF1" w:rsidRPr="00FF6140">
        <w:rPr>
          <w:highlight w:val="yellow"/>
        </w:rPr>
        <w:t>implement</w:t>
      </w:r>
      <w:r w:rsidRPr="00FF6140">
        <w:rPr>
          <w:highlight w:val="yellow"/>
        </w:rPr>
        <w:t xml:space="preserve"> planting</w:t>
      </w:r>
      <w:r w:rsidRPr="00FF6140">
        <w:rPr>
          <w:rFonts w:ascii="Arial" w:hAnsi="Arial" w:cs="Arial"/>
          <w:highlight w:val="yellow"/>
        </w:rPr>
        <w:t>​</w:t>
      </w:r>
      <w:r w:rsidRPr="00FF6140">
        <w:rPr>
          <w:highlight w:val="yellow"/>
        </w:rPr>
        <w:t xml:space="preserve"> regimes that minimize the need for pesticides and added nutrients.</w:t>
      </w:r>
    </w:p>
    <w:p w14:paraId="3BE52ED8" w14:textId="77777777" w:rsidR="00D741D1" w:rsidRPr="00A25B1B" w:rsidRDefault="00D741D1" w:rsidP="00C1637A">
      <w:pPr>
        <w:pStyle w:val="ListParagraph"/>
        <w:spacing w:line="276" w:lineRule="auto"/>
      </w:pPr>
    </w:p>
    <w:p w14:paraId="15555933" w14:textId="76AB1AF9" w:rsidR="00B6458F" w:rsidRPr="00647964" w:rsidRDefault="00560CF1" w:rsidP="00C1637A">
      <w:pPr>
        <w:pStyle w:val="ListParagraph"/>
        <w:numPr>
          <w:ilvl w:val="0"/>
          <w:numId w:val="8"/>
        </w:numPr>
        <w:spacing w:line="276" w:lineRule="auto"/>
      </w:pPr>
      <w:r>
        <w:t xml:space="preserve">The </w:t>
      </w:r>
      <w:r w:rsidR="003D0EE7">
        <w:t>Minnesota DNR and Department of Agriculture</w:t>
      </w:r>
      <w:r w:rsidR="00D741D1" w:rsidRPr="00A25B1B">
        <w:t>, in</w:t>
      </w:r>
      <w:r w:rsidR="00D741D1" w:rsidRPr="00A25B1B">
        <w:rPr>
          <w:rFonts w:ascii="Arial" w:hAnsi="Arial" w:cs="Arial"/>
        </w:rPr>
        <w:t>​</w:t>
      </w:r>
      <w:r w:rsidR="00D741D1" w:rsidRPr="00A25B1B">
        <w:t xml:space="preserve"> consultation with University of Minnesota Extension, Tribal colleges, and other higher</w:t>
      </w:r>
      <w:r w:rsidR="00D741D1" w:rsidRPr="00A25B1B">
        <w:rPr>
          <w:rFonts w:ascii="Arial" w:hAnsi="Arial" w:cs="Arial"/>
        </w:rPr>
        <w:t>​</w:t>
      </w:r>
      <w:r w:rsidR="00D741D1" w:rsidRPr="00A25B1B">
        <w:t xml:space="preserve"> education institutions, </w:t>
      </w:r>
      <w:r w:rsidR="003D0EE7">
        <w:t>should</w:t>
      </w:r>
      <w:r w:rsidR="00D741D1" w:rsidRPr="00A25B1B">
        <w:t xml:space="preserve"> continually revise and update pesticide applicator training</w:t>
      </w:r>
      <w:r w:rsidR="00A25B1B">
        <w:t xml:space="preserve"> </w:t>
      </w:r>
      <w:r w:rsidR="00D741D1" w:rsidRPr="00A25B1B">
        <w:t xml:space="preserve">manuals and </w:t>
      </w:r>
      <w:commentRangeStart w:id="22"/>
      <w:commentRangeStart w:id="23"/>
      <w:r w:rsidR="00D741D1" w:rsidRPr="00A25B1B">
        <w:t>examinations</w:t>
      </w:r>
      <w:commentRangeEnd w:id="22"/>
      <w:r w:rsidR="00D35F28" w:rsidRPr="00A25B1B">
        <w:rPr>
          <w:rStyle w:val="CommentReference"/>
          <w:sz w:val="24"/>
          <w:szCs w:val="24"/>
        </w:rPr>
        <w:commentReference w:id="22"/>
      </w:r>
      <w:commentRangeEnd w:id="23"/>
      <w:r w:rsidR="0085430C" w:rsidRPr="00A25B1B">
        <w:rPr>
          <w:rStyle w:val="CommentReference"/>
          <w:sz w:val="24"/>
          <w:szCs w:val="24"/>
        </w:rPr>
        <w:commentReference w:id="23"/>
      </w:r>
      <w:r w:rsidR="00D741D1" w:rsidRPr="00A25B1B">
        <w:t>.</w:t>
      </w:r>
      <w:r w:rsidR="003D0EE7">
        <w:t xml:space="preserve"> </w:t>
      </w:r>
      <w:r w:rsidR="00D741D1" w:rsidRPr="00A25B1B">
        <w:t>Manuals</w:t>
      </w:r>
      <w:r w:rsidR="00D741D1" w:rsidRPr="003D0EE7">
        <w:rPr>
          <w:rFonts w:ascii="Arial" w:hAnsi="Arial" w:cs="Arial"/>
        </w:rPr>
        <w:t>​</w:t>
      </w:r>
      <w:r w:rsidR="00D741D1" w:rsidRPr="00A25B1B">
        <w:t xml:space="preserve"> and examinations </w:t>
      </w:r>
      <w:r w:rsidR="003D0EE7">
        <w:t>should incorporate</w:t>
      </w:r>
      <w:r w:rsidR="00D741D1" w:rsidRPr="00A25B1B">
        <w:t xml:space="preserve"> pesticide </w:t>
      </w:r>
      <w:r w:rsidR="003D0EE7">
        <w:t xml:space="preserve">best </w:t>
      </w:r>
      <w:r w:rsidR="00D741D1" w:rsidRPr="00A25B1B">
        <w:t xml:space="preserve">management practices that </w:t>
      </w:r>
      <w:r w:rsidR="009F6375">
        <w:t>minimize or</w:t>
      </w:r>
      <w:r w:rsidR="00D741D1" w:rsidRPr="00A25B1B">
        <w:t xml:space="preserve"> prevent</w:t>
      </w:r>
      <w:r w:rsidR="009F6375">
        <w:t xml:space="preserve"> </w:t>
      </w:r>
      <w:r w:rsidR="00D741D1" w:rsidRPr="00A25B1B">
        <w:t xml:space="preserve">pesticide occurrence in groundwater and surface water of the state, </w:t>
      </w:r>
      <w:r w:rsidR="00D741D1" w:rsidRPr="008E77D3">
        <w:rPr>
          <w:highlight w:val="yellow"/>
        </w:rPr>
        <w:t>including wild-rice</w:t>
      </w:r>
      <w:r w:rsidR="00D741D1" w:rsidRPr="008E77D3">
        <w:rPr>
          <w:rFonts w:ascii="Arial" w:hAnsi="Arial" w:cs="Arial"/>
          <w:highlight w:val="yellow"/>
        </w:rPr>
        <w:t>​</w:t>
      </w:r>
      <w:r w:rsidR="00D741D1" w:rsidRPr="008E77D3">
        <w:rPr>
          <w:highlight w:val="yellow"/>
        </w:rPr>
        <w:t xml:space="preserve"> waters,</w:t>
      </w:r>
      <w:r w:rsidR="00D741D1" w:rsidRPr="00A25B1B">
        <w:t xml:space="preserve"> and </w:t>
      </w:r>
      <w:r w:rsidR="009F6375">
        <w:t>should define</w:t>
      </w:r>
      <w:r w:rsidR="00E713D7">
        <w:t xml:space="preserve"> </w:t>
      </w:r>
      <w:r w:rsidR="00D741D1" w:rsidRPr="00A25B1B">
        <w:t>economic thresholds and guidance for insecticide use.</w:t>
      </w:r>
      <w:r w:rsidR="00B6458F" w:rsidRPr="00647964">
        <w:rPr>
          <w:b/>
          <w:bCs/>
        </w:rPr>
        <w:br w:type="page"/>
      </w:r>
    </w:p>
    <w:p w14:paraId="0477074D" w14:textId="2B674B8B" w:rsidR="00F31A13" w:rsidRPr="00715210" w:rsidRDefault="00B6458F" w:rsidP="00C1637A">
      <w:pPr>
        <w:pStyle w:val="IntenseQuote"/>
        <w:spacing w:line="276" w:lineRule="auto"/>
      </w:pPr>
      <w:r w:rsidRPr="00715210">
        <w:lastRenderedPageBreak/>
        <w:t>Hydrologic Disruption</w:t>
      </w:r>
    </w:p>
    <w:p w14:paraId="7BDC0FF3" w14:textId="66E3EAFD" w:rsidR="00003216" w:rsidRDefault="00003216" w:rsidP="007216E8">
      <w:pPr>
        <w:spacing w:line="276" w:lineRule="auto"/>
      </w:pPr>
      <w:r>
        <w:t>One common human activity – draining “excess” water from the landscape – has had a profound ripple effect across ecosystems, surface and groundwater pollution, human health, infrastructure integrity, environmental justice and cost equity.</w:t>
      </w:r>
      <w:r w:rsidR="002972C6" w:rsidRPr="007216E8">
        <w:rPr>
          <w:color w:val="222222"/>
        </w:rPr>
        <w:t xml:space="preserve"> In the early days of statehood, our leaders placed water under the “common enemy doctrine” and encouraged and supported ridding the landscape of water, considering it a barrier to progress and growth. This widespread policy also directed extensive, judicially ordered ditch networks across the state, including on tribal reservations, over a century ago.</w:t>
      </w:r>
      <w:r w:rsidR="004065D1" w:rsidRPr="007216E8">
        <w:rPr>
          <w:color w:val="222222"/>
        </w:rPr>
        <w:t xml:space="preserve"> Ultimately, as we “improve” the land by ridding it of excess water, we set in motion a series of cascading water quality and quantity problems for everyone downstream.</w:t>
      </w:r>
      <w:r w:rsidR="00E765DE" w:rsidRPr="007216E8">
        <w:rPr>
          <w:rFonts w:cs="Calibri"/>
        </w:rPr>
        <w:t xml:space="preserve"> Agricultural tile drainage illustrates this policy clearly: it fundamentally alters hydrologic regimes, accelerates nutrient transport, and is a well-documented </w:t>
      </w:r>
      <w:commentRangeStart w:id="24"/>
      <w:commentRangeStart w:id="25"/>
      <w:r w:rsidR="00E765DE" w:rsidRPr="007216E8">
        <w:rPr>
          <w:rFonts w:cs="Calibri"/>
        </w:rPr>
        <w:t>contributor</w:t>
      </w:r>
      <w:commentRangeEnd w:id="24"/>
      <w:r w:rsidR="005848C2" w:rsidRPr="007216E8">
        <w:rPr>
          <w:rStyle w:val="CommentReference"/>
          <w:rFonts w:cs="Calibri"/>
          <w:sz w:val="24"/>
          <w:szCs w:val="24"/>
        </w:rPr>
        <w:commentReference w:id="24"/>
      </w:r>
      <w:commentRangeEnd w:id="25"/>
      <w:r w:rsidR="0011619E" w:rsidRPr="007216E8">
        <w:rPr>
          <w:rStyle w:val="CommentReference"/>
          <w:rFonts w:cs="Calibri"/>
          <w:sz w:val="24"/>
          <w:szCs w:val="24"/>
        </w:rPr>
        <w:commentReference w:id="25"/>
      </w:r>
      <w:r w:rsidR="00E765DE" w:rsidRPr="007216E8">
        <w:rPr>
          <w:rFonts w:cs="Calibri"/>
        </w:rPr>
        <w:t xml:space="preserve"> to nitrate loading in surface and groundwater. Yet this predominant pollutant threat remains largely unregulated and unmonitored, despite its scale and documented impacts.</w:t>
      </w:r>
      <w:r w:rsidR="003A4A05" w:rsidRPr="007216E8">
        <w:rPr>
          <w:color w:val="222222"/>
        </w:rPr>
        <w:t xml:space="preserve"> In the urban context, where we have paved over natural ecosystems to create urban environments, stormwater management systems carry and deliver runoff to downstream lakes and streams</w:t>
      </w:r>
      <w:r w:rsidR="003B02A0" w:rsidRPr="007216E8">
        <w:rPr>
          <w:rFonts w:ascii="Aptos" w:hAnsi="Aptos"/>
          <w:color w:val="222222"/>
        </w:rPr>
        <w:t> </w:t>
      </w:r>
      <w:r w:rsidR="003B02A0" w:rsidRPr="007216E8">
        <w:rPr>
          <w:rFonts w:ascii="Aptos" w:hAnsi="Aptos"/>
          <w:color w:val="EE0000"/>
        </w:rPr>
        <w:t>and are regulated through municipal stormwater programs</w:t>
      </w:r>
      <w:r w:rsidR="00723266" w:rsidRPr="007216E8">
        <w:rPr>
          <w:rFonts w:ascii="Aptos" w:hAnsi="Aptos"/>
          <w:color w:val="EE0000"/>
        </w:rPr>
        <w:t xml:space="preserve"> with design</w:t>
      </w:r>
      <w:r w:rsidR="00CD0B47" w:rsidRPr="007216E8">
        <w:rPr>
          <w:rFonts w:ascii="Aptos" w:hAnsi="Aptos"/>
          <w:color w:val="EE0000"/>
        </w:rPr>
        <w:t xml:space="preserve"> standard </w:t>
      </w:r>
      <w:r w:rsidR="00723266" w:rsidRPr="007216E8">
        <w:rPr>
          <w:rFonts w:ascii="Aptos" w:hAnsi="Aptos"/>
          <w:color w:val="EE0000"/>
        </w:rPr>
        <w:t>based</w:t>
      </w:r>
      <w:r w:rsidR="00CD0B47" w:rsidRPr="007216E8">
        <w:rPr>
          <w:rFonts w:ascii="Aptos" w:hAnsi="Aptos"/>
          <w:color w:val="EE0000"/>
        </w:rPr>
        <w:t xml:space="preserve"> permits</w:t>
      </w:r>
      <w:r w:rsidR="003B02A0" w:rsidRPr="007216E8">
        <w:rPr>
          <w:rFonts w:ascii="Aptos" w:hAnsi="Aptos"/>
          <w:color w:val="222222"/>
        </w:rPr>
        <w:t>.</w:t>
      </w:r>
      <w:r w:rsidR="006D161D" w:rsidRPr="007216E8">
        <w:rPr>
          <w:rFonts w:ascii="Aptos" w:hAnsi="Aptos"/>
          <w:color w:val="222222"/>
        </w:rPr>
        <w:t xml:space="preserve"> </w:t>
      </w:r>
      <w:r w:rsidR="006D161D" w:rsidRPr="007216E8">
        <w:rPr>
          <w:rFonts w:ascii="Aptos" w:hAnsi="Aptos"/>
          <w:color w:val="EE0000"/>
        </w:rPr>
        <w:t>The Task Force recommends the same framework be applied to agricultural til</w:t>
      </w:r>
      <w:r w:rsidR="009A3F74" w:rsidRPr="007216E8">
        <w:rPr>
          <w:rFonts w:ascii="Aptos" w:hAnsi="Aptos"/>
          <w:color w:val="EE0000"/>
        </w:rPr>
        <w:t xml:space="preserve">e </w:t>
      </w:r>
      <w:commentRangeStart w:id="26"/>
      <w:commentRangeStart w:id="27"/>
      <w:r w:rsidR="009A3F74" w:rsidRPr="007216E8">
        <w:rPr>
          <w:rFonts w:ascii="Aptos" w:hAnsi="Aptos"/>
          <w:color w:val="EE0000"/>
        </w:rPr>
        <w:t>drainage</w:t>
      </w:r>
      <w:commentRangeEnd w:id="26"/>
      <w:r w:rsidR="00E87523">
        <w:rPr>
          <w:rStyle w:val="CommentReference"/>
          <w:rFonts w:ascii="Aptos" w:hAnsi="Aptos"/>
          <w:color w:val="EE0000"/>
          <w:sz w:val="24"/>
          <w:szCs w:val="24"/>
        </w:rPr>
        <w:commentReference w:id="26"/>
      </w:r>
      <w:commentRangeEnd w:id="27"/>
      <w:r w:rsidR="00406D28">
        <w:rPr>
          <w:rStyle w:val="CommentReference"/>
          <w:rFonts w:ascii="Aptos" w:hAnsi="Aptos"/>
          <w:color w:val="EE0000"/>
          <w:sz w:val="24"/>
          <w:szCs w:val="24"/>
        </w:rPr>
        <w:commentReference w:id="27"/>
      </w:r>
      <w:r w:rsidR="007C45C2">
        <w:rPr>
          <w:rFonts w:ascii="Aptos" w:hAnsi="Aptos"/>
          <w:color w:val="EE0000"/>
        </w:rPr>
        <w:t>, and recognizes that this will require legislative authorization and funding to administrate.</w:t>
      </w:r>
    </w:p>
    <w:p w14:paraId="1CA0F15A" w14:textId="77777777" w:rsidR="00003216" w:rsidRDefault="00003216" w:rsidP="00003216">
      <w:pPr>
        <w:pStyle w:val="ListParagraph"/>
        <w:spacing w:line="276" w:lineRule="auto"/>
        <w:rPr>
          <w:color w:val="222222"/>
        </w:rPr>
      </w:pPr>
    </w:p>
    <w:p w14:paraId="4C0EF27B" w14:textId="55A6D23B" w:rsidR="003B386D" w:rsidRDefault="00CF7E02" w:rsidP="00003216">
      <w:pPr>
        <w:pStyle w:val="ListParagraph"/>
        <w:numPr>
          <w:ilvl w:val="0"/>
          <w:numId w:val="38"/>
        </w:numPr>
        <w:spacing w:line="276" w:lineRule="auto"/>
        <w:rPr>
          <w:color w:val="222222"/>
        </w:rPr>
      </w:pPr>
      <w:r w:rsidRPr="00003216">
        <w:rPr>
          <w:color w:val="222222"/>
        </w:rPr>
        <w:t>The Task Force recommends that w</w:t>
      </w:r>
      <w:r w:rsidR="00FB60F7" w:rsidRPr="00003216">
        <w:rPr>
          <w:color w:val="222222"/>
        </w:rPr>
        <w:t>atershed management be advanced in Minnesota via M</w:t>
      </w:r>
      <w:r w:rsidR="003B386D" w:rsidRPr="00003216">
        <w:rPr>
          <w:color w:val="222222"/>
        </w:rPr>
        <w:t xml:space="preserve">N </w:t>
      </w:r>
      <w:r w:rsidR="00FB60F7" w:rsidRPr="00003216">
        <w:rPr>
          <w:color w:val="222222"/>
        </w:rPr>
        <w:t>S</w:t>
      </w:r>
      <w:r w:rsidR="003B386D" w:rsidRPr="00003216">
        <w:rPr>
          <w:color w:val="222222"/>
        </w:rPr>
        <w:t>tat.</w:t>
      </w:r>
      <w:r w:rsidR="00FB60F7" w:rsidRPr="00003216">
        <w:rPr>
          <w:color w:val="222222"/>
        </w:rPr>
        <w:t xml:space="preserve"> 103B &amp; 103D with</w:t>
      </w:r>
      <w:r w:rsidR="00407189" w:rsidRPr="00003216">
        <w:rPr>
          <w:color w:val="222222"/>
        </w:rPr>
        <w:t xml:space="preserve"> increased</w:t>
      </w:r>
      <w:r w:rsidR="00FB60F7" w:rsidRPr="00003216">
        <w:rPr>
          <w:color w:val="222222"/>
        </w:rPr>
        <w:t xml:space="preserve"> investment </w:t>
      </w:r>
      <w:r w:rsidR="00407189" w:rsidRPr="00003216">
        <w:rPr>
          <w:color w:val="222222"/>
        </w:rPr>
        <w:t xml:space="preserve">in </w:t>
      </w:r>
      <w:r w:rsidR="00FB60F7" w:rsidRPr="00003216">
        <w:rPr>
          <w:color w:val="222222"/>
        </w:rPr>
        <w:t>and use of basin-wide hydrologic modeling to guide and manage the cumulative impact of land use decisions</w:t>
      </w:r>
      <w:r w:rsidR="00407189" w:rsidRPr="00003216">
        <w:rPr>
          <w:color w:val="222222"/>
        </w:rPr>
        <w:t>,</w:t>
      </w:r>
      <w:r w:rsidR="00FB60F7" w:rsidRPr="00003216">
        <w:rPr>
          <w:color w:val="222222"/>
        </w:rPr>
        <w:t xml:space="preserve"> includ</w:t>
      </w:r>
      <w:r w:rsidR="00407189" w:rsidRPr="00003216">
        <w:rPr>
          <w:color w:val="222222"/>
        </w:rPr>
        <w:t>ing</w:t>
      </w:r>
      <w:r w:rsidR="00FB60F7" w:rsidRPr="00003216">
        <w:rPr>
          <w:color w:val="222222"/>
        </w:rPr>
        <w:t xml:space="preserve"> the impacts of upstream drainage on downstream water resources, land owners, transportation systems and infrastructure at risk from water quantity and quality </w:t>
      </w:r>
      <w:commentRangeStart w:id="28"/>
      <w:r w:rsidR="00FB60F7" w:rsidRPr="00003216">
        <w:rPr>
          <w:color w:val="222222"/>
        </w:rPr>
        <w:t>impacts</w:t>
      </w:r>
      <w:commentRangeEnd w:id="28"/>
      <w:r w:rsidR="00FA6471" w:rsidRPr="00003216">
        <w:rPr>
          <w:rStyle w:val="CommentReference"/>
          <w:color w:val="222222"/>
          <w:sz w:val="24"/>
          <w:szCs w:val="24"/>
        </w:rPr>
        <w:commentReference w:id="28"/>
      </w:r>
      <w:r w:rsidR="00FB60F7" w:rsidRPr="00003216">
        <w:rPr>
          <w:color w:val="222222"/>
        </w:rPr>
        <w:t>.</w:t>
      </w:r>
    </w:p>
    <w:p w14:paraId="50B1B671" w14:textId="20FC5ECD" w:rsidR="002019EE" w:rsidRPr="00D87F29" w:rsidRDefault="00D87F29" w:rsidP="00D87F29">
      <w:pPr>
        <w:spacing w:line="276" w:lineRule="auto"/>
        <w:ind w:left="720"/>
        <w:rPr>
          <w:color w:val="222222"/>
        </w:rPr>
      </w:pPr>
      <w:r>
        <w:t>The Minnesota Water Sustainability Framework offers a</w:t>
      </w:r>
      <w:r w:rsidR="00CC7F18">
        <w:t xml:space="preserve">n example of </w:t>
      </w:r>
      <w:r w:rsidR="004503FE">
        <w:t>the type of modeling recommended</w:t>
      </w:r>
      <w:r>
        <w:t>:</w:t>
      </w:r>
      <w:r w:rsidR="004503FE">
        <w:t xml:space="preserve"> a </w:t>
      </w:r>
      <w:r w:rsidR="00CC7F18">
        <w:t xml:space="preserve">gridded surface subsurface hydrologic assessment (GSSHA) model to assess watershed hydrological characteristics and response. This tool is a landscape model that can depict, in high resolution and at a fine scale, how water flows across the landscape, and can provide better technical support to LGUs in understanding and managing their watersheds. GSSHA can run for both single extreme precipitation events or over the long term. It couples groundwater to surface water interactions, which is especially important for Minnesota. The effects of hydrological changes and hydrological management, including controlled </w:t>
      </w:r>
      <w:r w:rsidR="00CC7F18">
        <w:lastRenderedPageBreak/>
        <w:t>drainage and flood control structures, can be predicted for choosing effective drainage structures and controls and their precise locations.</w:t>
      </w:r>
    </w:p>
    <w:p w14:paraId="0EA8094A" w14:textId="5B42152E" w:rsidR="00187B22" w:rsidRDefault="008158CF" w:rsidP="00613ED1">
      <w:pPr>
        <w:pStyle w:val="ListParagraph"/>
        <w:numPr>
          <w:ilvl w:val="0"/>
          <w:numId w:val="38"/>
        </w:numPr>
        <w:shd w:val="clear" w:color="auto" w:fill="FFFFFF"/>
        <w:spacing w:after="0" w:line="276" w:lineRule="auto"/>
        <w:rPr>
          <w:color w:val="222222"/>
        </w:rPr>
      </w:pPr>
      <w:r>
        <w:t>The Minnesota River</w:t>
      </w:r>
      <w:r w:rsidR="00BE1131">
        <w:t xml:space="preserve"> Basin</w:t>
      </w:r>
      <w:r>
        <w:t xml:space="preserve"> is a </w:t>
      </w:r>
      <w:r w:rsidR="002E2F14">
        <w:t>large</w:t>
      </w:r>
      <w:r>
        <w:t xml:space="preserve"> and dynamic system, </w:t>
      </w:r>
      <w:r w:rsidR="00CD55C8">
        <w:t xml:space="preserve">with a </w:t>
      </w:r>
      <w:r w:rsidR="00060054">
        <w:t xml:space="preserve">more </w:t>
      </w:r>
      <w:r w:rsidR="00440E73">
        <w:t xml:space="preserve">extremely </w:t>
      </w:r>
      <w:r w:rsidR="00F03706">
        <w:t>fluctuating</w:t>
      </w:r>
      <w:r w:rsidR="00060054">
        <w:t xml:space="preserve"> </w:t>
      </w:r>
      <w:r>
        <w:t>hydrology</w:t>
      </w:r>
      <w:r w:rsidR="00267A19">
        <w:t xml:space="preserve"> being</w:t>
      </w:r>
      <w:r w:rsidR="00846B6A">
        <w:t xml:space="preserve"> driven by climate</w:t>
      </w:r>
      <w:r w:rsidR="003371A0" w:rsidRPr="003371A0">
        <w:rPr>
          <w:color w:val="EE0000"/>
        </w:rPr>
        <w:t xml:space="preserve"> </w:t>
      </w:r>
      <w:r w:rsidR="003371A0" w:rsidRPr="003371A0">
        <w:rPr>
          <w:rFonts w:ascii="Aptos" w:hAnsi="Aptos"/>
          <w:color w:val="EE0000"/>
        </w:rPr>
        <w:t>and human alterations like agricultural drainage networks</w:t>
      </w:r>
      <w:r w:rsidR="00846B6A" w:rsidRPr="003371A0">
        <w:rPr>
          <w:color w:val="EE0000"/>
        </w:rPr>
        <w:t xml:space="preserve"> </w:t>
      </w:r>
      <w:r>
        <w:t xml:space="preserve">that </w:t>
      </w:r>
      <w:r w:rsidR="003371A0">
        <w:t>are</w:t>
      </w:r>
      <w:r>
        <w:t xml:space="preserve"> changing faster than our responses. </w:t>
      </w:r>
      <w:r w:rsidR="00B94CE6">
        <w:t>These</w:t>
      </w:r>
      <w:r w:rsidR="00EE76DF">
        <w:t xml:space="preserve"> </w:t>
      </w:r>
      <w:r w:rsidR="00C45AFD">
        <w:t>hydrologic changes</w:t>
      </w:r>
      <w:r w:rsidR="00C02BFF">
        <w:t xml:space="preserve"> </w:t>
      </w:r>
      <w:r>
        <w:t xml:space="preserve">are overwhelming </w:t>
      </w:r>
      <w:r w:rsidR="00C45AFD">
        <w:t xml:space="preserve">sub-basin </w:t>
      </w:r>
      <w:r>
        <w:t>piecemeal solutions.</w:t>
      </w:r>
      <w:r w:rsidR="00462D2E" w:rsidRPr="00462D2E">
        <w:t xml:space="preserve"> </w:t>
      </w:r>
      <w:r w:rsidR="00462D2E">
        <w:t xml:space="preserve">The Minnesota River Basin </w:t>
      </w:r>
      <w:r w:rsidR="00187B22">
        <w:t>encompasses</w:t>
      </w:r>
      <w:r w:rsidR="00462D2E">
        <w:t xml:space="preserve"> over 300 local units of government—watershed districts, SWCDs, county boards, cities, and townships—each with its own plans and priorities.</w:t>
      </w:r>
      <w:r>
        <w:t xml:space="preserve"> </w:t>
      </w:r>
      <w:r w:rsidR="008D0F94">
        <w:t>The Task Force recommends</w:t>
      </w:r>
      <w:r w:rsidR="00F14501">
        <w:t xml:space="preserve"> a comprehensive, coordinated, basin-wide strategy</w:t>
      </w:r>
      <w:r w:rsidR="008D0F94">
        <w:t xml:space="preserve"> for </w:t>
      </w:r>
      <w:r w:rsidR="008010BB">
        <w:t xml:space="preserve">restoring the </w:t>
      </w:r>
      <w:r w:rsidR="00BF03EB">
        <w:t xml:space="preserve">ecological </w:t>
      </w:r>
      <w:r w:rsidR="008010BB">
        <w:t>condition</w:t>
      </w:r>
      <w:r w:rsidR="00BF03EB">
        <w:t xml:space="preserve"> and beneficial uses of the </w:t>
      </w:r>
      <w:r w:rsidR="008D0F94">
        <w:t xml:space="preserve">Minnesota </w:t>
      </w:r>
      <w:commentRangeStart w:id="29"/>
      <w:r w:rsidR="008D0F94">
        <w:t>River</w:t>
      </w:r>
      <w:commentRangeEnd w:id="29"/>
      <w:r w:rsidR="00DA49D1">
        <w:rPr>
          <w:rStyle w:val="CommentReference"/>
          <w:sz w:val="24"/>
          <w:szCs w:val="24"/>
        </w:rPr>
        <w:commentReference w:id="29"/>
      </w:r>
      <w:r w:rsidR="00F14501">
        <w:t xml:space="preserve">. </w:t>
      </w:r>
      <w:r w:rsidR="002019EE" w:rsidRPr="002019EE">
        <w:rPr>
          <w:color w:val="222222"/>
        </w:rPr>
        <w:t xml:space="preserve">Due to the unique hydrogeologic conditions that formed the </w:t>
      </w:r>
      <w:r w:rsidR="008D0F94">
        <w:rPr>
          <w:color w:val="222222"/>
        </w:rPr>
        <w:t>river</w:t>
      </w:r>
      <w:r w:rsidR="002019EE" w:rsidRPr="002019EE">
        <w:rPr>
          <w:color w:val="222222"/>
        </w:rPr>
        <w:t xml:space="preserve"> and the </w:t>
      </w:r>
      <w:r w:rsidR="00816D80">
        <w:rPr>
          <w:color w:val="222222"/>
        </w:rPr>
        <w:t xml:space="preserve">documented </w:t>
      </w:r>
      <w:r w:rsidR="003B386D">
        <w:rPr>
          <w:color w:val="222222"/>
        </w:rPr>
        <w:t>substantial cumulative</w:t>
      </w:r>
      <w:r w:rsidR="002019EE" w:rsidRPr="002019EE">
        <w:rPr>
          <w:color w:val="222222"/>
        </w:rPr>
        <w:t xml:space="preserve"> consequences to all downstream natural systems and </w:t>
      </w:r>
      <w:r w:rsidR="00613ED1">
        <w:rPr>
          <w:color w:val="222222"/>
        </w:rPr>
        <w:t>communities</w:t>
      </w:r>
      <w:r w:rsidR="002019EE" w:rsidRPr="002019EE">
        <w:rPr>
          <w:color w:val="222222"/>
        </w:rPr>
        <w:t xml:space="preserve"> from </w:t>
      </w:r>
      <w:r w:rsidR="002019EE" w:rsidRPr="009B065E">
        <w:rPr>
          <w:color w:val="EE0000"/>
        </w:rPr>
        <w:t xml:space="preserve">its </w:t>
      </w:r>
      <w:r w:rsidR="009B065E" w:rsidRPr="009B065E">
        <w:rPr>
          <w:color w:val="EE0000"/>
        </w:rPr>
        <w:t>intensive drainage networks</w:t>
      </w:r>
      <w:r w:rsidR="002019EE" w:rsidRPr="002019EE">
        <w:rPr>
          <w:color w:val="222222"/>
        </w:rPr>
        <w:t xml:space="preserve">, </w:t>
      </w:r>
      <w:r w:rsidR="003F44DA">
        <w:rPr>
          <w:color w:val="222222"/>
        </w:rPr>
        <w:t>a</w:t>
      </w:r>
      <w:r w:rsidR="003904EE">
        <w:rPr>
          <w:color w:val="222222"/>
        </w:rPr>
        <w:t xml:space="preserve">n intergovernmental board should be established to coordinate </w:t>
      </w:r>
      <w:r w:rsidR="00DD1FCE">
        <w:rPr>
          <w:color w:val="222222"/>
        </w:rPr>
        <w:t>drainage and nutrient management</w:t>
      </w:r>
      <w:r w:rsidR="007C4A32">
        <w:rPr>
          <w:color w:val="222222"/>
        </w:rPr>
        <w:t xml:space="preserve"> practices and actions. </w:t>
      </w:r>
      <w:r w:rsidR="006F0BD6">
        <w:rPr>
          <w:color w:val="222222"/>
        </w:rPr>
        <w:t xml:space="preserve">The effectiveness of </w:t>
      </w:r>
      <w:r w:rsidR="00E94098">
        <w:rPr>
          <w:color w:val="222222"/>
        </w:rPr>
        <w:t>existing funding sources</w:t>
      </w:r>
      <w:r w:rsidR="00A52BD6">
        <w:rPr>
          <w:color w:val="222222"/>
        </w:rPr>
        <w:t xml:space="preserve"> (</w:t>
      </w:r>
      <w:r w:rsidR="002D6BE4" w:rsidRPr="008D0F94">
        <w:rPr>
          <w:color w:val="222222"/>
          <w:highlight w:val="yellow"/>
        </w:rPr>
        <w:t>List examples</w:t>
      </w:r>
      <w:r w:rsidR="002D6BE4">
        <w:rPr>
          <w:color w:val="222222"/>
        </w:rPr>
        <w:t>)</w:t>
      </w:r>
      <w:r w:rsidR="00E94098">
        <w:rPr>
          <w:color w:val="222222"/>
        </w:rPr>
        <w:t xml:space="preserve"> could be maximized with a more coordinated </w:t>
      </w:r>
      <w:r w:rsidR="002664FF">
        <w:rPr>
          <w:color w:val="222222"/>
        </w:rPr>
        <w:t xml:space="preserve">Minnesota River </w:t>
      </w:r>
      <w:r w:rsidR="006755E3">
        <w:rPr>
          <w:color w:val="222222"/>
        </w:rPr>
        <w:t>Basin-</w:t>
      </w:r>
      <w:r w:rsidR="002664FF">
        <w:rPr>
          <w:color w:val="222222"/>
        </w:rPr>
        <w:t xml:space="preserve">wide </w:t>
      </w:r>
      <w:commentRangeStart w:id="30"/>
      <w:r w:rsidR="002664FF">
        <w:rPr>
          <w:color w:val="222222"/>
        </w:rPr>
        <w:t>authority</w:t>
      </w:r>
      <w:commentRangeEnd w:id="30"/>
      <w:r w:rsidR="00110F96">
        <w:rPr>
          <w:rStyle w:val="CommentReference"/>
          <w:color w:val="222222"/>
          <w:sz w:val="24"/>
          <w:szCs w:val="24"/>
        </w:rPr>
        <w:commentReference w:id="30"/>
      </w:r>
      <w:r w:rsidR="00A30DAE">
        <w:rPr>
          <w:color w:val="222222"/>
        </w:rPr>
        <w:t xml:space="preserve">. </w:t>
      </w:r>
    </w:p>
    <w:p w14:paraId="3C28FDEF" w14:textId="77777777" w:rsidR="00267A19" w:rsidRPr="00267A19" w:rsidRDefault="00267A19" w:rsidP="00267A19">
      <w:pPr>
        <w:shd w:val="clear" w:color="auto" w:fill="FFFFFF"/>
        <w:spacing w:after="0" w:line="276" w:lineRule="auto"/>
        <w:rPr>
          <w:color w:val="222222"/>
        </w:rPr>
      </w:pPr>
    </w:p>
    <w:p w14:paraId="55EE2BCE" w14:textId="0AA247C5" w:rsidR="00745B08" w:rsidRPr="00187B22" w:rsidRDefault="00A52BD6" w:rsidP="00267A19">
      <w:pPr>
        <w:shd w:val="clear" w:color="auto" w:fill="FFFFFF"/>
        <w:spacing w:after="0" w:line="276" w:lineRule="auto"/>
        <w:ind w:left="720"/>
        <w:rPr>
          <w:color w:val="222222"/>
        </w:rPr>
      </w:pPr>
      <w:r w:rsidRPr="00187B22">
        <w:rPr>
          <w:color w:val="222222"/>
        </w:rPr>
        <w:t>Additionally</w:t>
      </w:r>
      <w:r w:rsidR="00CE73B3" w:rsidRPr="00187B22">
        <w:rPr>
          <w:color w:val="222222"/>
        </w:rPr>
        <w:t xml:space="preserve">, </w:t>
      </w:r>
      <w:r w:rsidR="00745B08" w:rsidRPr="00187B22">
        <w:rPr>
          <w:color w:val="222222"/>
        </w:rPr>
        <w:t>a water ombudsman</w:t>
      </w:r>
      <w:r w:rsidR="00F70F1B" w:rsidRPr="00187B22">
        <w:rPr>
          <w:color w:val="222222"/>
        </w:rPr>
        <w:t xml:space="preserve"> office</w:t>
      </w:r>
      <w:r w:rsidR="00745B08" w:rsidRPr="00187B22">
        <w:rPr>
          <w:color w:val="222222"/>
        </w:rPr>
        <w:t xml:space="preserve"> </w:t>
      </w:r>
      <w:r w:rsidR="00CE73B3" w:rsidRPr="00187B22">
        <w:rPr>
          <w:color w:val="222222"/>
        </w:rPr>
        <w:t xml:space="preserve">could be established </w:t>
      </w:r>
      <w:r w:rsidR="00745B08" w:rsidRPr="00187B22">
        <w:rPr>
          <w:color w:val="222222"/>
        </w:rPr>
        <w:t xml:space="preserve">to </w:t>
      </w:r>
      <w:r w:rsidR="00CE73B3" w:rsidRPr="00187B22">
        <w:rPr>
          <w:color w:val="222222"/>
        </w:rPr>
        <w:t>mediate</w:t>
      </w:r>
      <w:r w:rsidR="00745B08" w:rsidRPr="00187B22">
        <w:rPr>
          <w:color w:val="222222"/>
        </w:rPr>
        <w:t xml:space="preserve"> overlapping, confusing, and conflicting water and land management rules that create frustrations for local governments and landowners from the fragmented water management </w:t>
      </w:r>
      <w:r w:rsidR="004B7922" w:rsidRPr="00187B22">
        <w:rPr>
          <w:color w:val="222222"/>
        </w:rPr>
        <w:t xml:space="preserve">jurisdictions </w:t>
      </w:r>
      <w:r w:rsidR="00745B08" w:rsidRPr="00187B22">
        <w:rPr>
          <w:color w:val="222222"/>
        </w:rPr>
        <w:t>enabled under statutes and rules. A water ombudsman is an independent, impartial authority that helps resolve disputes between landowners and water regulators, offering guidance, advocacy, and legal protections in some cases</w:t>
      </w:r>
      <w:r w:rsidR="00BE2EF8" w:rsidRPr="00187B22">
        <w:rPr>
          <w:color w:val="222222"/>
        </w:rPr>
        <w:t xml:space="preserve">, but with the overarching charge to protect and restore the </w:t>
      </w:r>
      <w:r w:rsidR="00C9172A" w:rsidRPr="00187B22">
        <w:rPr>
          <w:color w:val="222222"/>
        </w:rPr>
        <w:t xml:space="preserve">Minnesota River </w:t>
      </w:r>
      <w:commentRangeStart w:id="31"/>
      <w:r w:rsidR="00C9172A" w:rsidRPr="00187B22">
        <w:rPr>
          <w:color w:val="222222"/>
        </w:rPr>
        <w:t>system</w:t>
      </w:r>
      <w:commentRangeEnd w:id="31"/>
      <w:r w:rsidR="00A44276" w:rsidRPr="00187B22">
        <w:rPr>
          <w:rStyle w:val="CommentReference"/>
          <w:color w:val="222222"/>
          <w:sz w:val="24"/>
          <w:szCs w:val="24"/>
        </w:rPr>
        <w:commentReference w:id="31"/>
      </w:r>
      <w:r w:rsidR="00745B08" w:rsidRPr="00187B22">
        <w:rPr>
          <w:color w:val="222222"/>
        </w:rPr>
        <w:t>.</w:t>
      </w:r>
    </w:p>
    <w:p w14:paraId="5BA1FF5C" w14:textId="77777777" w:rsidR="007A7A41" w:rsidRPr="007A3A86" w:rsidRDefault="007A7A41" w:rsidP="00C1637A">
      <w:pPr>
        <w:spacing w:line="276" w:lineRule="auto"/>
        <w:rPr>
          <w:color w:val="222222"/>
        </w:rPr>
      </w:pPr>
    </w:p>
    <w:p w14:paraId="329A119A" w14:textId="5A8005A2" w:rsidR="007A7A41" w:rsidRDefault="007A7A41" w:rsidP="003B386D">
      <w:pPr>
        <w:numPr>
          <w:ilvl w:val="0"/>
          <w:numId w:val="38"/>
        </w:numPr>
        <w:shd w:val="clear" w:color="auto" w:fill="FFFFFF"/>
        <w:spacing w:after="0" w:line="276" w:lineRule="auto"/>
        <w:rPr>
          <w:color w:val="222222"/>
        </w:rPr>
      </w:pPr>
      <w:r>
        <w:rPr>
          <w:color w:val="222222"/>
        </w:rPr>
        <w:t>Since the greatest water quality and quantity problems are cumulative in nature, cost share programs are an important way to enable landowners to establish land use modifications that will contribute to solutions to our water quality and quantity problems. Models of this already exist and are funded (i.e., BWSR Water Quality and Storage Grants, Multipurpose Drainage Management Grants, Clean Water Fund Watershed-Based Implementation Funds (WBIF).</w:t>
      </w:r>
      <w:r w:rsidR="00463A0C">
        <w:rPr>
          <w:color w:val="222222"/>
        </w:rPr>
        <w:t xml:space="preserve"> </w:t>
      </w:r>
      <w:r w:rsidR="00BF6AB5">
        <w:rPr>
          <w:color w:val="222222"/>
        </w:rPr>
        <w:t>The Task force recommends that n</w:t>
      </w:r>
      <w:r w:rsidR="00463A0C">
        <w:rPr>
          <w:color w:val="222222"/>
        </w:rPr>
        <w:t xml:space="preserve">ew </w:t>
      </w:r>
      <w:r w:rsidR="00954078">
        <w:rPr>
          <w:color w:val="222222"/>
        </w:rPr>
        <w:t>and</w:t>
      </w:r>
      <w:r w:rsidR="00463A0C">
        <w:rPr>
          <w:color w:val="222222"/>
        </w:rPr>
        <w:t xml:space="preserve"> existing cost-share programs should </w:t>
      </w:r>
      <w:r w:rsidR="00BF6AB5">
        <w:rPr>
          <w:color w:val="222222"/>
        </w:rPr>
        <w:t xml:space="preserve">specifically </w:t>
      </w:r>
      <w:r w:rsidR="00954078">
        <w:rPr>
          <w:color w:val="222222"/>
        </w:rPr>
        <w:t>incentivize investment in Natural Capital and Green Infrastructure</w:t>
      </w:r>
      <w:r w:rsidR="00305E2C">
        <w:rPr>
          <w:color w:val="222222"/>
        </w:rPr>
        <w:t xml:space="preserve">, </w:t>
      </w:r>
      <w:r w:rsidR="00F070EB">
        <w:rPr>
          <w:color w:val="222222"/>
        </w:rPr>
        <w:t xml:space="preserve">both </w:t>
      </w:r>
      <w:r w:rsidR="00BF6AB5">
        <w:rPr>
          <w:color w:val="222222"/>
        </w:rPr>
        <w:t>conservation and engineered</w:t>
      </w:r>
      <w:r w:rsidR="00F070EB">
        <w:rPr>
          <w:color w:val="222222"/>
        </w:rPr>
        <w:t xml:space="preserve"> projects </w:t>
      </w:r>
      <w:r w:rsidR="00305E2C">
        <w:rPr>
          <w:color w:val="222222"/>
        </w:rPr>
        <w:t xml:space="preserve">that “slow the flow” and </w:t>
      </w:r>
      <w:r w:rsidR="000123E8">
        <w:rPr>
          <w:color w:val="222222"/>
        </w:rPr>
        <w:t xml:space="preserve">increase infiltration of stormwater </w:t>
      </w:r>
      <w:r w:rsidR="00753505">
        <w:rPr>
          <w:color w:val="222222"/>
        </w:rPr>
        <w:t>runoff</w:t>
      </w:r>
      <w:r w:rsidR="00954078">
        <w:rPr>
          <w:color w:val="222222"/>
        </w:rPr>
        <w:t>.</w:t>
      </w:r>
    </w:p>
    <w:p w14:paraId="3B928D82" w14:textId="77777777" w:rsidR="007A7A41" w:rsidRPr="00954078" w:rsidRDefault="007A7A41" w:rsidP="00954078">
      <w:pPr>
        <w:spacing w:line="276" w:lineRule="auto"/>
        <w:rPr>
          <w:color w:val="222222"/>
        </w:rPr>
      </w:pPr>
    </w:p>
    <w:p w14:paraId="24751AD1" w14:textId="7F2273A7" w:rsidR="007A7A41" w:rsidRPr="007E677A" w:rsidRDefault="00F070EB" w:rsidP="003B386D">
      <w:pPr>
        <w:numPr>
          <w:ilvl w:val="0"/>
          <w:numId w:val="38"/>
        </w:numPr>
        <w:shd w:val="clear" w:color="auto" w:fill="FFFFFF"/>
        <w:spacing w:after="0" w:line="276" w:lineRule="auto"/>
        <w:rPr>
          <w:color w:val="222222"/>
        </w:rPr>
      </w:pPr>
      <w:r>
        <w:rPr>
          <w:color w:val="222222"/>
        </w:rPr>
        <w:lastRenderedPageBreak/>
        <w:t xml:space="preserve">The Task Force recommends that the MN Department of </w:t>
      </w:r>
      <w:commentRangeStart w:id="32"/>
      <w:commentRangeStart w:id="33"/>
      <w:r>
        <w:rPr>
          <w:color w:val="222222"/>
        </w:rPr>
        <w:t>Agriculture</w:t>
      </w:r>
      <w:commentRangeEnd w:id="32"/>
      <w:r w:rsidR="00AD3404">
        <w:rPr>
          <w:rStyle w:val="CommentReference"/>
          <w:color w:val="222222"/>
          <w:sz w:val="24"/>
          <w:szCs w:val="24"/>
        </w:rPr>
        <w:commentReference w:id="32"/>
      </w:r>
      <w:commentRangeEnd w:id="33"/>
      <w:r w:rsidR="00F90387">
        <w:rPr>
          <w:rStyle w:val="CommentReference"/>
          <w:color w:val="222222"/>
          <w:sz w:val="24"/>
          <w:szCs w:val="24"/>
        </w:rPr>
        <w:commentReference w:id="33"/>
      </w:r>
      <w:r>
        <w:rPr>
          <w:color w:val="222222"/>
        </w:rPr>
        <w:t xml:space="preserve"> s</w:t>
      </w:r>
      <w:r w:rsidR="005448F3">
        <w:rPr>
          <w:color w:val="222222"/>
        </w:rPr>
        <w:t>trengthen</w:t>
      </w:r>
      <w:r w:rsidR="00C9172A">
        <w:rPr>
          <w:color w:val="222222"/>
        </w:rPr>
        <w:t xml:space="preserve"> </w:t>
      </w:r>
      <w:r w:rsidR="005B32CA">
        <w:rPr>
          <w:color w:val="222222"/>
        </w:rPr>
        <w:t xml:space="preserve">and </w:t>
      </w:r>
      <w:r w:rsidR="00C9172A">
        <w:rPr>
          <w:color w:val="222222"/>
        </w:rPr>
        <w:t>expand</w:t>
      </w:r>
      <w:r w:rsidR="005448F3">
        <w:rPr>
          <w:color w:val="222222"/>
        </w:rPr>
        <w:t xml:space="preserve"> </w:t>
      </w:r>
      <w:r w:rsidR="000E0D21" w:rsidRPr="005343ED">
        <w:rPr>
          <w:color w:val="222222"/>
        </w:rPr>
        <w:t>the Minnesota Agricultural Water Quality Certification Program</w:t>
      </w:r>
      <w:r w:rsidR="003752F1">
        <w:rPr>
          <w:color w:val="222222"/>
        </w:rPr>
        <w:t>,</w:t>
      </w:r>
      <w:r w:rsidR="000E0D21" w:rsidRPr="005343ED">
        <w:rPr>
          <w:color w:val="222222"/>
        </w:rPr>
        <w:t xml:space="preserve"> to </w:t>
      </w:r>
      <w:r w:rsidR="003752F1">
        <w:rPr>
          <w:color w:val="222222"/>
        </w:rPr>
        <w:t xml:space="preserve">both </w:t>
      </w:r>
      <w:r w:rsidR="000E0D21" w:rsidRPr="005343ED">
        <w:rPr>
          <w:color w:val="222222"/>
        </w:rPr>
        <w:t>support</w:t>
      </w:r>
      <w:r w:rsidR="003752F1">
        <w:rPr>
          <w:color w:val="222222"/>
        </w:rPr>
        <w:t xml:space="preserve"> and better document</w:t>
      </w:r>
      <w:r w:rsidR="000E0D21" w:rsidRPr="005343ED">
        <w:rPr>
          <w:color w:val="222222"/>
        </w:rPr>
        <w:t xml:space="preserve"> implementation of functional best management practices that will</w:t>
      </w:r>
      <w:r w:rsidR="000E0D21" w:rsidRPr="007E677A">
        <w:rPr>
          <w:color w:val="222222"/>
        </w:rPr>
        <w:t xml:space="preserve"> accelerate achievement of watershed </w:t>
      </w:r>
      <w:r>
        <w:rPr>
          <w:color w:val="222222"/>
        </w:rPr>
        <w:t>improvements</w:t>
      </w:r>
      <w:r w:rsidR="000E0D21" w:rsidRPr="007E677A">
        <w:rPr>
          <w:color w:val="222222"/>
        </w:rPr>
        <w:t xml:space="preserve"> </w:t>
      </w:r>
      <w:r w:rsidR="00CA5F03">
        <w:rPr>
          <w:color w:val="222222"/>
        </w:rPr>
        <w:t xml:space="preserve">and </w:t>
      </w:r>
      <w:r w:rsidR="00C21CE5">
        <w:rPr>
          <w:color w:val="222222"/>
        </w:rPr>
        <w:t>attain</w:t>
      </w:r>
      <w:r w:rsidR="000E0D21" w:rsidRPr="007E677A">
        <w:rPr>
          <w:color w:val="222222"/>
        </w:rPr>
        <w:t xml:space="preserve"> both surface and groundwater </w:t>
      </w:r>
      <w:r w:rsidR="00A55E0E">
        <w:rPr>
          <w:color w:val="222222"/>
        </w:rPr>
        <w:t>protection</w:t>
      </w:r>
      <w:r w:rsidR="000E0D21" w:rsidRPr="007E677A">
        <w:rPr>
          <w:color w:val="222222"/>
        </w:rPr>
        <w:t xml:space="preserve"> goals.</w:t>
      </w:r>
      <w:r w:rsidR="00515424">
        <w:rPr>
          <w:color w:val="222222"/>
        </w:rPr>
        <w:t xml:space="preserve"> </w:t>
      </w:r>
      <w:r w:rsidR="002E20BC">
        <w:rPr>
          <w:color w:val="EE0000"/>
        </w:rPr>
        <w:t xml:space="preserve">The Task Force anticipates the </w:t>
      </w:r>
      <w:r w:rsidR="007A126D">
        <w:rPr>
          <w:color w:val="EE0000"/>
        </w:rPr>
        <w:t xml:space="preserve">imminent </w:t>
      </w:r>
      <w:r w:rsidR="002E20BC">
        <w:rPr>
          <w:color w:val="EE0000"/>
        </w:rPr>
        <w:t xml:space="preserve">release </w:t>
      </w:r>
      <w:r w:rsidR="00DB518C">
        <w:rPr>
          <w:color w:val="EE0000"/>
        </w:rPr>
        <w:t>of a</w:t>
      </w:r>
      <w:r w:rsidR="00BC6E7D">
        <w:rPr>
          <w:color w:val="EE0000"/>
        </w:rPr>
        <w:t>n a</w:t>
      </w:r>
      <w:r w:rsidR="007F1752">
        <w:rPr>
          <w:color w:val="EE0000"/>
        </w:rPr>
        <w:t>u</w:t>
      </w:r>
      <w:r w:rsidR="00BC6E7D">
        <w:rPr>
          <w:color w:val="EE0000"/>
        </w:rPr>
        <w:t xml:space="preserve">dit </w:t>
      </w:r>
      <w:r w:rsidR="00DB518C">
        <w:rPr>
          <w:color w:val="EE0000"/>
        </w:rPr>
        <w:t>from the Office of the Legislative Auditor</w:t>
      </w:r>
      <w:r w:rsidR="007A126D">
        <w:rPr>
          <w:color w:val="EE0000"/>
        </w:rPr>
        <w:t xml:space="preserve"> this </w:t>
      </w:r>
      <w:r w:rsidR="0017630C">
        <w:rPr>
          <w:color w:val="EE0000"/>
        </w:rPr>
        <w:t>year and</w:t>
      </w:r>
      <w:r w:rsidR="007A126D">
        <w:rPr>
          <w:color w:val="EE0000"/>
        </w:rPr>
        <w:t xml:space="preserve"> supports MDA’s implementation of</w:t>
      </w:r>
      <w:r w:rsidR="00C26312">
        <w:rPr>
          <w:color w:val="EE0000"/>
        </w:rPr>
        <w:t xml:space="preserve"> the recommendations that emerge from that audit.</w:t>
      </w:r>
    </w:p>
    <w:p w14:paraId="49F12CAB" w14:textId="77777777" w:rsidR="00DF36A4" w:rsidRPr="007E677A" w:rsidRDefault="00DF36A4" w:rsidP="00C1637A">
      <w:pPr>
        <w:pStyle w:val="ListParagraph"/>
        <w:spacing w:line="276" w:lineRule="auto"/>
        <w:rPr>
          <w:color w:val="222222"/>
        </w:rPr>
      </w:pPr>
    </w:p>
    <w:p w14:paraId="2BBFC397" w14:textId="2D859F7A" w:rsidR="0093305A" w:rsidRPr="00F819DF" w:rsidRDefault="00A55E0E" w:rsidP="003B386D">
      <w:pPr>
        <w:pStyle w:val="NoSpacing"/>
        <w:numPr>
          <w:ilvl w:val="0"/>
          <w:numId w:val="38"/>
        </w:numPr>
        <w:spacing w:line="276" w:lineRule="auto"/>
        <w:rPr>
          <w:rFonts w:eastAsia="Times New Roman" w:cs="Arial"/>
          <w:color w:val="000000"/>
          <w:kern w:val="0"/>
          <w14:ligatures w14:val="none"/>
        </w:rPr>
      </w:pPr>
      <w:r>
        <w:rPr>
          <w:color w:val="222222"/>
        </w:rPr>
        <w:t>The Task Force recommends the c</w:t>
      </w:r>
      <w:r w:rsidR="00DF36A4" w:rsidRPr="005343ED">
        <w:rPr>
          <w:color w:val="222222"/>
        </w:rPr>
        <w:t>reat</w:t>
      </w:r>
      <w:r>
        <w:rPr>
          <w:color w:val="222222"/>
        </w:rPr>
        <w:t>ion of</w:t>
      </w:r>
      <w:r w:rsidR="00DF36A4" w:rsidRPr="005343ED">
        <w:rPr>
          <w:color w:val="222222"/>
        </w:rPr>
        <w:t xml:space="preserve"> a </w:t>
      </w:r>
      <w:r w:rsidR="0045246F">
        <w:rPr>
          <w:color w:val="222222"/>
        </w:rPr>
        <w:t xml:space="preserve">statewide </w:t>
      </w:r>
      <w:r w:rsidR="00DF36A4" w:rsidRPr="005343ED">
        <w:rPr>
          <w:color w:val="222222"/>
        </w:rPr>
        <w:t>rural water</w:t>
      </w:r>
      <w:r w:rsidR="00974A01">
        <w:rPr>
          <w:color w:val="222222"/>
        </w:rPr>
        <w:t>/drainage</w:t>
      </w:r>
      <w:r w:rsidR="00DF36A4" w:rsidRPr="005343ED">
        <w:rPr>
          <w:color w:val="222222"/>
        </w:rPr>
        <w:t xml:space="preserve"> management program that uses similar </w:t>
      </w:r>
      <w:r w:rsidR="007C07D8">
        <w:rPr>
          <w:color w:val="222222"/>
        </w:rPr>
        <w:t xml:space="preserve">management </w:t>
      </w:r>
      <w:r w:rsidR="00DF36A4" w:rsidRPr="005343ED">
        <w:rPr>
          <w:color w:val="222222"/>
        </w:rPr>
        <w:t>concepts and design requirements as the Municipal Storm Water Management Program</w:t>
      </w:r>
      <w:r w:rsidR="0093305A">
        <w:rPr>
          <w:color w:val="222222"/>
        </w:rPr>
        <w:t>.</w:t>
      </w:r>
      <w:r w:rsidR="0093305A" w:rsidRPr="0093305A">
        <w:t xml:space="preserve"> </w:t>
      </w:r>
      <w:r w:rsidR="005F6EDC">
        <w:t>C</w:t>
      </w:r>
      <w:r w:rsidR="0093305A" w:rsidRPr="00F819DF">
        <w:t xml:space="preserve">ost-share </w:t>
      </w:r>
      <w:r w:rsidR="005F6EDC">
        <w:t xml:space="preserve">should be provided to incentivize </w:t>
      </w:r>
      <w:r w:rsidR="00F342E7">
        <w:rPr>
          <w:rFonts w:ascii="Aptos" w:hAnsi="Aptos"/>
          <w:color w:val="000000"/>
        </w:rPr>
        <w:t xml:space="preserve">the </w:t>
      </w:r>
      <w:r w:rsidR="00F342E7" w:rsidRPr="00A67113">
        <w:rPr>
          <w:rFonts w:ascii="Aptos" w:hAnsi="Aptos"/>
          <w:color w:val="EE0000"/>
        </w:rPr>
        <w:t xml:space="preserve">inclusion of </w:t>
      </w:r>
      <w:r w:rsidR="00F342E7" w:rsidRPr="00F342E7">
        <w:rPr>
          <w:rFonts w:ascii="Aptos" w:hAnsi="Aptos"/>
          <w:color w:val="EE0000"/>
        </w:rPr>
        <w:t xml:space="preserve">conservation drainage practices when public drainage systems are expanded, such as saturated buffers, wetland restoration, </w:t>
      </w:r>
      <w:r w:rsidR="005F6EDC">
        <w:t xml:space="preserve">and other </w:t>
      </w:r>
      <w:r w:rsidR="0093305A" w:rsidRPr="00F819DF">
        <w:t xml:space="preserve">conservation </w:t>
      </w:r>
      <w:r w:rsidR="005F6EDC">
        <w:t xml:space="preserve">practices that </w:t>
      </w:r>
      <w:r w:rsidR="008B6139">
        <w:t xml:space="preserve">slow the flow of </w:t>
      </w:r>
      <w:r w:rsidR="003B2EB2">
        <w:t>runoff</w:t>
      </w:r>
      <w:r w:rsidR="0005509D">
        <w:t xml:space="preserve">, </w:t>
      </w:r>
      <w:r w:rsidR="00D4018F">
        <w:t>reduce erosion and sediment transport,</w:t>
      </w:r>
      <w:r w:rsidR="00497E7B">
        <w:t xml:space="preserve"> </w:t>
      </w:r>
      <w:r w:rsidR="00D4018F">
        <w:t xml:space="preserve">and </w:t>
      </w:r>
      <w:r w:rsidR="00497E7B">
        <w:t>provide for more retention and infiltration</w:t>
      </w:r>
      <w:r w:rsidR="003B2EB2">
        <w:t>.</w:t>
      </w:r>
    </w:p>
    <w:p w14:paraId="01FA236A" w14:textId="36DDEFFF" w:rsidR="00D24018" w:rsidRPr="00A53043" w:rsidRDefault="0093305A" w:rsidP="00A53043">
      <w:pPr>
        <w:spacing w:line="276" w:lineRule="auto"/>
        <w:ind w:left="720"/>
      </w:pPr>
      <w:r w:rsidRPr="00F819DF">
        <w:t>Example</w:t>
      </w:r>
      <w:r w:rsidR="00D4018F">
        <w:t>s</w:t>
      </w:r>
      <w:r w:rsidRPr="00F819DF">
        <w:t xml:space="preserve">: SWPPPs, SW MN drainage collaboratives; seeking ways to keep water on the landscape after having lost wetlands, tallgrass prairie. </w:t>
      </w:r>
    </w:p>
    <w:p w14:paraId="6D9CD24A" w14:textId="77777777" w:rsidR="00D24018" w:rsidRPr="005343ED" w:rsidRDefault="00D24018" w:rsidP="00C1637A">
      <w:pPr>
        <w:shd w:val="clear" w:color="auto" w:fill="FFFFFF"/>
        <w:spacing w:after="0" w:line="276" w:lineRule="auto"/>
        <w:rPr>
          <w:color w:val="222222"/>
        </w:rPr>
      </w:pPr>
    </w:p>
    <w:p w14:paraId="04A4DB82" w14:textId="77777777" w:rsidR="00BF764B" w:rsidRPr="00BF764B" w:rsidRDefault="00FA00F2" w:rsidP="003B386D">
      <w:pPr>
        <w:numPr>
          <w:ilvl w:val="0"/>
          <w:numId w:val="38"/>
        </w:numPr>
        <w:shd w:val="clear" w:color="auto" w:fill="FFFFFF"/>
        <w:spacing w:after="0" w:line="276" w:lineRule="auto"/>
        <w:rPr>
          <w:color w:val="222222"/>
        </w:rPr>
      </w:pPr>
      <w:r w:rsidRPr="005F20E0">
        <w:t>Run incentives in the right direction:</w:t>
      </w:r>
      <w:r>
        <w:t xml:space="preserve"> </w:t>
      </w:r>
    </w:p>
    <w:p w14:paraId="2AE620B9" w14:textId="5EDAA2D0" w:rsidR="007E677A" w:rsidRDefault="00D24018" w:rsidP="00BF764B">
      <w:pPr>
        <w:pStyle w:val="ListParagraph"/>
        <w:numPr>
          <w:ilvl w:val="0"/>
          <w:numId w:val="41"/>
        </w:numPr>
        <w:shd w:val="clear" w:color="auto" w:fill="FFFFFF"/>
        <w:spacing w:after="0" w:line="276" w:lineRule="auto"/>
        <w:rPr>
          <w:color w:val="222222"/>
        </w:rPr>
      </w:pPr>
      <w:r w:rsidRPr="00BF764B">
        <w:rPr>
          <w:color w:val="222222"/>
        </w:rPr>
        <w:t xml:space="preserve">Create a property tax exemption for all land used to store or slow stormwater, including buffer strips, saturated buffers, drainage water recycling, and retention ponds and reservoirs. </w:t>
      </w:r>
    </w:p>
    <w:p w14:paraId="5CA63217" w14:textId="40E16202" w:rsidR="00BF764B" w:rsidRDefault="00BF764B" w:rsidP="00841EB2">
      <w:pPr>
        <w:pStyle w:val="ListParagraph"/>
        <w:numPr>
          <w:ilvl w:val="0"/>
          <w:numId w:val="41"/>
        </w:numPr>
        <w:shd w:val="clear" w:color="auto" w:fill="FFFFFF"/>
        <w:spacing w:after="0" w:line="276" w:lineRule="auto"/>
        <w:rPr>
          <w:color w:val="222222"/>
        </w:rPr>
      </w:pPr>
      <w:r>
        <w:rPr>
          <w:color w:val="222222"/>
        </w:rPr>
        <w:t xml:space="preserve">Remove regulatory barriers that prevent landowners from building temporary retention ponds to store stormwater on their </w:t>
      </w:r>
      <w:r w:rsidR="00841EB2">
        <w:rPr>
          <w:color w:val="222222"/>
        </w:rPr>
        <w:t>property and</w:t>
      </w:r>
      <w:r>
        <w:rPr>
          <w:color w:val="222222"/>
        </w:rPr>
        <w:t xml:space="preserve"> then using stored water to irrigate </w:t>
      </w:r>
      <w:commentRangeStart w:id="34"/>
      <w:r>
        <w:rPr>
          <w:color w:val="222222"/>
        </w:rPr>
        <w:t>cropland</w:t>
      </w:r>
      <w:commentRangeEnd w:id="34"/>
      <w:r w:rsidR="00184DC3">
        <w:rPr>
          <w:rStyle w:val="CommentReference"/>
          <w:color w:val="222222"/>
          <w:sz w:val="24"/>
          <w:szCs w:val="24"/>
        </w:rPr>
        <w:commentReference w:id="34"/>
      </w:r>
      <w:r>
        <w:rPr>
          <w:color w:val="222222"/>
        </w:rPr>
        <w:t>.</w:t>
      </w:r>
      <w:r w:rsidR="004B59F1">
        <w:rPr>
          <w:color w:val="222222"/>
        </w:rPr>
        <w:t xml:space="preserve"> </w:t>
      </w:r>
      <w:r w:rsidR="00021B25">
        <w:rPr>
          <w:color w:val="EE0000"/>
        </w:rPr>
        <w:t>Suggested edit: Provide exemption to water appropriations permit</w:t>
      </w:r>
      <w:r w:rsidR="00C35378">
        <w:rPr>
          <w:color w:val="EE0000"/>
        </w:rPr>
        <w:t xml:space="preserve"> for agricultural crop irrigators who build temporary stormwater retention ponds on their property</w:t>
      </w:r>
      <w:r w:rsidR="00884A11">
        <w:rPr>
          <w:color w:val="EE0000"/>
        </w:rPr>
        <w:t xml:space="preserve"> and use stored water for irrigating their cropland.</w:t>
      </w:r>
    </w:p>
    <w:p w14:paraId="049E9B1A" w14:textId="70910680" w:rsidR="00841EB2" w:rsidRPr="00841EB2" w:rsidRDefault="00841EB2" w:rsidP="00841EB2">
      <w:pPr>
        <w:pStyle w:val="ListParagraph"/>
        <w:numPr>
          <w:ilvl w:val="0"/>
          <w:numId w:val="27"/>
        </w:numPr>
        <w:shd w:val="clear" w:color="auto" w:fill="FFFFFF"/>
        <w:spacing w:after="0" w:line="276" w:lineRule="auto"/>
        <w:textAlignment w:val="baseline"/>
        <w:rPr>
          <w:rFonts w:eastAsia="Times New Roman" w:cs="Segoe UI"/>
          <w:kern w:val="0"/>
          <w14:ligatures w14:val="none"/>
        </w:rPr>
      </w:pPr>
      <w:r w:rsidRPr="00841EB2">
        <w:rPr>
          <w:rFonts w:eastAsia="Times New Roman" w:cs="Segoe UI"/>
          <w:kern w:val="0"/>
          <w14:ligatures w14:val="none"/>
        </w:rPr>
        <w:t xml:space="preserve">In agricultural areas, the barriers to more sustainable land and water practices need to be explored to see where disincentives exist, with a goal to incentivize </w:t>
      </w:r>
      <w:r>
        <w:rPr>
          <w:rFonts w:eastAsia="Times New Roman" w:cs="Segoe UI"/>
          <w:kern w:val="0"/>
          <w14:ligatures w14:val="none"/>
        </w:rPr>
        <w:t>BMPs</w:t>
      </w:r>
      <w:r w:rsidRPr="00841EB2">
        <w:rPr>
          <w:rFonts w:eastAsia="Times New Roman" w:cs="Segoe UI"/>
          <w:kern w:val="0"/>
          <w14:ligatures w14:val="none"/>
        </w:rPr>
        <w:t>, including but not limited to farm loan processes that incentivize</w:t>
      </w:r>
      <w:r>
        <w:rPr>
          <w:rFonts w:eastAsia="Times New Roman" w:cs="Segoe UI"/>
          <w:kern w:val="0"/>
          <w14:ligatures w14:val="none"/>
        </w:rPr>
        <w:t xml:space="preserve"> or even require</w:t>
      </w:r>
      <w:r w:rsidRPr="00841EB2">
        <w:rPr>
          <w:rFonts w:eastAsia="Times New Roman" w:cs="Segoe UI"/>
          <w:kern w:val="0"/>
          <w14:ligatures w14:val="none"/>
        </w:rPr>
        <w:t xml:space="preserve"> tile drain or irrigation</w:t>
      </w:r>
      <w:r>
        <w:rPr>
          <w:rFonts w:eastAsia="Times New Roman" w:cs="Segoe UI"/>
          <w:kern w:val="0"/>
          <w14:ligatures w14:val="none"/>
        </w:rPr>
        <w:t xml:space="preserve"> as “improvements” </w:t>
      </w:r>
      <w:r w:rsidRPr="00841EB2">
        <w:rPr>
          <w:rFonts w:eastAsia="Times New Roman" w:cs="Segoe UI"/>
          <w:kern w:val="0"/>
          <w14:ligatures w14:val="none"/>
        </w:rPr>
        <w:t>; absentee landowner/renter payments that do not include land stewardship and soil and water health incentives</w:t>
      </w:r>
    </w:p>
    <w:p w14:paraId="621F7EEF" w14:textId="77777777" w:rsidR="00841EB2" w:rsidRPr="00841EB2" w:rsidRDefault="00841EB2" w:rsidP="00841EB2">
      <w:pPr>
        <w:shd w:val="clear" w:color="auto" w:fill="FFFFFF"/>
        <w:spacing w:after="0" w:line="276" w:lineRule="auto"/>
        <w:rPr>
          <w:color w:val="222222"/>
        </w:rPr>
      </w:pPr>
    </w:p>
    <w:p w14:paraId="7FE5AB00" w14:textId="77777777" w:rsidR="005B6CE9" w:rsidRDefault="005B6CE9" w:rsidP="00C1637A">
      <w:pPr>
        <w:shd w:val="clear" w:color="auto" w:fill="FFFFFF"/>
        <w:spacing w:after="0" w:line="276" w:lineRule="auto"/>
        <w:rPr>
          <w:color w:val="222222"/>
        </w:rPr>
      </w:pPr>
    </w:p>
    <w:p w14:paraId="7CADDBD0" w14:textId="516F7D7B" w:rsidR="00A56D4D" w:rsidRPr="00B75F70" w:rsidRDefault="00A56D4D" w:rsidP="008F67CB">
      <w:pPr>
        <w:rPr>
          <w:color w:val="222222"/>
        </w:rPr>
      </w:pPr>
    </w:p>
    <w:p w14:paraId="6BB36DD7" w14:textId="0C24E746" w:rsidR="00871397" w:rsidRPr="00715210" w:rsidRDefault="00871397" w:rsidP="00C1637A">
      <w:pPr>
        <w:pStyle w:val="IntenseQuote"/>
        <w:spacing w:line="276" w:lineRule="auto"/>
      </w:pPr>
      <w:r w:rsidRPr="00715210">
        <w:lastRenderedPageBreak/>
        <w:t>Water Quantity</w:t>
      </w:r>
    </w:p>
    <w:p w14:paraId="4CCD236B" w14:textId="6C909E6B" w:rsidR="00A20146" w:rsidRPr="00A20146" w:rsidRDefault="00A20146" w:rsidP="00C1637A">
      <w:pPr>
        <w:pStyle w:val="ListParagraph"/>
        <w:numPr>
          <w:ilvl w:val="0"/>
          <w:numId w:val="30"/>
        </w:numPr>
        <w:spacing w:line="276" w:lineRule="auto"/>
        <w:rPr>
          <w:b/>
          <w:bCs/>
          <w:sz w:val="28"/>
          <w:szCs w:val="28"/>
          <w:u w:val="single"/>
        </w:rPr>
      </w:pPr>
      <w:r w:rsidRPr="00A20146">
        <w:t xml:space="preserve">The Environmental Quality Board should lower the </w:t>
      </w:r>
      <w:commentRangeStart w:id="35"/>
      <w:r w:rsidRPr="00A20146">
        <w:t>threshold</w:t>
      </w:r>
      <w:commentRangeEnd w:id="35"/>
      <w:r w:rsidR="00A548E3" w:rsidRPr="00A20146">
        <w:rPr>
          <w:rStyle w:val="CommentReference"/>
          <w:sz w:val="24"/>
          <w:szCs w:val="24"/>
        </w:rPr>
        <w:commentReference w:id="35"/>
      </w:r>
      <w:r w:rsidRPr="00A20146">
        <w:t xml:space="preserve"> for the water appropriation mandatory EAW category in Minn. R. 4410.4300 subp. 24(a) from an average of 30,000,000 gallons per month to an average of 8,000,000 gallons per </w:t>
      </w:r>
      <w:commentRangeStart w:id="36"/>
      <w:r w:rsidRPr="00A20146">
        <w:t>month</w:t>
      </w:r>
      <w:commentRangeEnd w:id="36"/>
      <w:r w:rsidR="00640CC0" w:rsidRPr="00A20146">
        <w:rPr>
          <w:rStyle w:val="CommentReference"/>
          <w:sz w:val="24"/>
          <w:szCs w:val="24"/>
        </w:rPr>
        <w:commentReference w:id="36"/>
      </w:r>
      <w:r w:rsidRPr="00A20146">
        <w:t>. The revised language would require a</w:t>
      </w:r>
      <w:r>
        <w:t xml:space="preserve"> mandatory EAW for new appropriations for commercial or industrial purposes of either surface water or ground water that average 8,000,000 gallons per month. The DNR should be the RGU for this mandatory category with required consultation with other agencies for integrated review per Minn. Stat. 103H.101, Subp 7. Where Minn. Stat. 473.1565 is applicable, the Met Council should be the RGU. Those areas that pose a significant threat to groundwater degradation should be considered for designation as a "sensitive area" consistent with Minn. Stat. 103H.005, Subp. 13.</w:t>
      </w:r>
    </w:p>
    <w:p w14:paraId="127AD8A2" w14:textId="77777777" w:rsidR="00A20146" w:rsidRPr="00A20146" w:rsidRDefault="00A20146" w:rsidP="00C1637A">
      <w:pPr>
        <w:pStyle w:val="ListParagraph"/>
        <w:spacing w:line="276" w:lineRule="auto"/>
        <w:rPr>
          <w:b/>
          <w:bCs/>
          <w:sz w:val="28"/>
          <w:szCs w:val="28"/>
          <w:u w:val="single"/>
        </w:rPr>
      </w:pPr>
    </w:p>
    <w:p w14:paraId="1454BF67" w14:textId="19C7A732" w:rsidR="00670E42" w:rsidRDefault="00B1623D" w:rsidP="00670E42">
      <w:pPr>
        <w:pStyle w:val="NoSpacing"/>
        <w:numPr>
          <w:ilvl w:val="0"/>
          <w:numId w:val="13"/>
        </w:numPr>
        <w:rPr>
          <w:highlight w:val="yellow"/>
        </w:rPr>
      </w:pPr>
      <w:r>
        <w:t xml:space="preserve">The Task Force </w:t>
      </w:r>
      <w:r w:rsidR="00C05FC7">
        <w:t>recommends i</w:t>
      </w:r>
      <w:r w:rsidR="00A20146" w:rsidRPr="00A20146">
        <w:t>ncrease</w:t>
      </w:r>
      <w:r w:rsidR="00C05FC7">
        <w:t>d</w:t>
      </w:r>
      <w:r w:rsidR="00A20146" w:rsidRPr="00A20146">
        <w:t xml:space="preserve"> transparency and permit scrutiny for large-volume commercial and industrial users</w:t>
      </w:r>
      <w:r w:rsidR="00C05FC7">
        <w:t>,</w:t>
      </w:r>
      <w:r w:rsidR="00A20146" w:rsidRPr="00A20146">
        <w:t xml:space="preserve"> and </w:t>
      </w:r>
      <w:r w:rsidR="00C05FC7">
        <w:t xml:space="preserve">that </w:t>
      </w:r>
      <w:r w:rsidR="006867C6">
        <w:t xml:space="preserve">state and local permitting agencies </w:t>
      </w:r>
      <w:r w:rsidR="00A20146">
        <w:t>more specifically</w:t>
      </w:r>
      <w:r w:rsidR="00A20146" w:rsidRPr="00A20146">
        <w:t xml:space="preserve"> consider regional aquifer </w:t>
      </w:r>
      <w:commentRangeStart w:id="37"/>
      <w:r w:rsidR="00A20146" w:rsidRPr="00A20146">
        <w:t>sustainability</w:t>
      </w:r>
      <w:commentRangeEnd w:id="37"/>
      <w:r w:rsidR="005F418E">
        <w:rPr>
          <w:rStyle w:val="CommentReference"/>
          <w:sz w:val="24"/>
          <w:szCs w:val="24"/>
        </w:rPr>
        <w:commentReference w:id="37"/>
      </w:r>
      <w:r w:rsidR="005D53C4">
        <w:t>.</w:t>
      </w:r>
      <w:r w:rsidR="00A20146">
        <w:t xml:space="preserve"> </w:t>
      </w:r>
      <w:r w:rsidR="00670E42" w:rsidRPr="00670E42">
        <w:rPr>
          <w:color w:val="EE0000"/>
        </w:rPr>
        <w:t>Environmental review</w:t>
      </w:r>
      <w:r w:rsidR="00670E42">
        <w:rPr>
          <w:color w:val="EE0000"/>
        </w:rPr>
        <w:t xml:space="preserve"> processes should</w:t>
      </w:r>
      <w:r w:rsidR="00670E42" w:rsidRPr="00670E42">
        <w:rPr>
          <w:color w:val="EE0000"/>
        </w:rPr>
        <w:t xml:space="preserve"> include groundwater/aquifer budget (quality and quantity)</w:t>
      </w:r>
      <w:r w:rsidR="00306FDF">
        <w:rPr>
          <w:color w:val="EE0000"/>
        </w:rPr>
        <w:t xml:space="preserve"> and predicted impacts.</w:t>
      </w:r>
    </w:p>
    <w:p w14:paraId="398482C5" w14:textId="123F9E66" w:rsidR="000C33E9" w:rsidRPr="000C33E9" w:rsidRDefault="000C33E9" w:rsidP="00670E42">
      <w:pPr>
        <w:pStyle w:val="ListParagraph"/>
        <w:spacing w:line="276" w:lineRule="auto"/>
        <w:rPr>
          <w:b/>
          <w:bCs/>
          <w:sz w:val="28"/>
          <w:szCs w:val="28"/>
          <w:u w:val="single"/>
        </w:rPr>
      </w:pPr>
    </w:p>
    <w:p w14:paraId="3FB21F0B" w14:textId="0DA61FE7" w:rsidR="000C33E9" w:rsidRPr="000C33E9" w:rsidRDefault="000C33E9" w:rsidP="000C33E9">
      <w:pPr>
        <w:pStyle w:val="ListParagraph"/>
        <w:numPr>
          <w:ilvl w:val="0"/>
          <w:numId w:val="42"/>
        </w:numPr>
        <w:spacing w:line="276" w:lineRule="auto"/>
        <w:rPr>
          <w:b/>
          <w:bCs/>
          <w:sz w:val="28"/>
          <w:szCs w:val="28"/>
          <w:u w:val="single"/>
        </w:rPr>
      </w:pPr>
      <w:r>
        <w:t xml:space="preserve">(a) </w:t>
      </w:r>
      <w:r w:rsidR="00BD6911">
        <w:t xml:space="preserve">The state should require more frequent review of municipal water supply </w:t>
      </w:r>
      <w:commentRangeStart w:id="38"/>
      <w:r w:rsidR="00BD6911">
        <w:t>plans</w:t>
      </w:r>
      <w:commentRangeEnd w:id="38"/>
      <w:r w:rsidR="00670E42">
        <w:rPr>
          <w:rStyle w:val="CommentReference"/>
          <w:sz w:val="24"/>
          <w:szCs w:val="24"/>
        </w:rPr>
        <w:commentReference w:id="38"/>
      </w:r>
      <w:r w:rsidR="00BD6911">
        <w:t xml:space="preserve"> (currently on a 10-year cycle with DNR review)</w:t>
      </w:r>
      <w:r>
        <w:t xml:space="preserve"> to ensure that municipal water suppliers have adequately considered regional aquifer sustainability when they incorporate large-volume commercial and industrial users. </w:t>
      </w:r>
    </w:p>
    <w:p w14:paraId="29533D6B" w14:textId="119D99A4" w:rsidR="000C33E9" w:rsidRPr="000C33E9" w:rsidRDefault="000C33E9" w:rsidP="000C33E9">
      <w:pPr>
        <w:pStyle w:val="ListParagraph"/>
        <w:numPr>
          <w:ilvl w:val="0"/>
          <w:numId w:val="42"/>
        </w:numPr>
        <w:spacing w:line="276" w:lineRule="auto"/>
        <w:rPr>
          <w:b/>
          <w:bCs/>
          <w:sz w:val="28"/>
          <w:szCs w:val="28"/>
          <w:u w:val="single"/>
        </w:rPr>
      </w:pPr>
      <w:r>
        <w:t xml:space="preserve">(b) </w:t>
      </w:r>
      <w:r w:rsidR="001753C2">
        <w:t>A</w:t>
      </w:r>
      <w:r w:rsidR="00D16B8C">
        <w:t>n individual or s</w:t>
      </w:r>
      <w:r w:rsidR="00A20146">
        <w:t xml:space="preserve">eparate </w:t>
      </w:r>
      <w:r w:rsidR="00AF7746">
        <w:t xml:space="preserve">water appropriation </w:t>
      </w:r>
      <w:r w:rsidR="00A20146">
        <w:t xml:space="preserve">permit </w:t>
      </w:r>
      <w:r w:rsidR="001753C2">
        <w:t xml:space="preserve">should be </w:t>
      </w:r>
      <w:commentRangeStart w:id="39"/>
      <w:r w:rsidR="001753C2">
        <w:t>required</w:t>
      </w:r>
      <w:commentRangeEnd w:id="39"/>
      <w:r w:rsidR="00F721C3">
        <w:rPr>
          <w:rStyle w:val="CommentReference"/>
          <w:sz w:val="24"/>
          <w:szCs w:val="24"/>
        </w:rPr>
        <w:commentReference w:id="39"/>
      </w:r>
      <w:r w:rsidR="001753C2">
        <w:t xml:space="preserve"> </w:t>
      </w:r>
      <w:r w:rsidR="00A20146">
        <w:t>for industrial and commercial use</w:t>
      </w:r>
      <w:r w:rsidR="00314130">
        <w:t>r</w:t>
      </w:r>
      <w:r w:rsidR="00A20146">
        <w:t>s of water supply that exceed 100 million gallons per year</w:t>
      </w:r>
      <w:r w:rsidR="00D16B8C">
        <w:t xml:space="preserve">, </w:t>
      </w:r>
      <w:r w:rsidR="005D53C4">
        <w:t>specifically prohibiting</w:t>
      </w:r>
      <w:r w:rsidR="00FC3AB6">
        <w:t xml:space="preserve"> large industrial water users to piggyback on municipal</w:t>
      </w:r>
      <w:r w:rsidR="0001695B">
        <w:t xml:space="preserve"> water appropriation permits</w:t>
      </w:r>
      <w:r w:rsidR="00A20146">
        <w:t xml:space="preserve">. </w:t>
      </w:r>
    </w:p>
    <w:p w14:paraId="11ACAF96" w14:textId="3B385708" w:rsidR="00D140B0" w:rsidRPr="00D140B0" w:rsidRDefault="000C33E9" w:rsidP="00D140B0">
      <w:pPr>
        <w:pStyle w:val="ListParagraph"/>
        <w:numPr>
          <w:ilvl w:val="0"/>
          <w:numId w:val="42"/>
        </w:numPr>
        <w:spacing w:line="276" w:lineRule="auto"/>
        <w:rPr>
          <w:b/>
          <w:bCs/>
          <w:sz w:val="28"/>
          <w:szCs w:val="28"/>
          <w:u w:val="single"/>
        </w:rPr>
      </w:pPr>
      <w:r>
        <w:t>(c)</w:t>
      </w:r>
      <w:r w:rsidR="0051635F">
        <w:t xml:space="preserve"> </w:t>
      </w:r>
      <w:r w:rsidR="00314130">
        <w:t>The Task Force recommends the MN DNR develop and enforce r</w:t>
      </w:r>
      <w:r w:rsidR="00F3459A" w:rsidRPr="00F3459A">
        <w:t>equirements to report water use more frequently/</w:t>
      </w:r>
      <w:commentRangeStart w:id="40"/>
      <w:r w:rsidR="00F3459A" w:rsidRPr="00F3459A">
        <w:t>accurately</w:t>
      </w:r>
      <w:commentRangeEnd w:id="40"/>
      <w:r w:rsidR="00ED6022">
        <w:rPr>
          <w:rStyle w:val="CommentReference"/>
          <w:sz w:val="24"/>
          <w:szCs w:val="24"/>
        </w:rPr>
        <w:commentReference w:id="40"/>
      </w:r>
      <w:r w:rsidR="00314130">
        <w:t>.</w:t>
      </w:r>
      <w:r w:rsidR="00F3459A" w:rsidRPr="00F3459A">
        <w:t xml:space="preserve"> </w:t>
      </w:r>
      <w:r w:rsidR="0040615C">
        <w:t>The aforementioned</w:t>
      </w:r>
      <w:r w:rsidR="00F3459A">
        <w:t xml:space="preserve"> separate permit </w:t>
      </w:r>
      <w:r w:rsidR="00486840">
        <w:t xml:space="preserve">requirement </w:t>
      </w:r>
      <w:r w:rsidR="0090185D">
        <w:t xml:space="preserve">for </w:t>
      </w:r>
      <w:r w:rsidR="00314130">
        <w:t>large water user</w:t>
      </w:r>
      <w:r w:rsidR="0090185D">
        <w:t>s</w:t>
      </w:r>
      <w:r w:rsidR="00314130">
        <w:t xml:space="preserve"> </w:t>
      </w:r>
      <w:r w:rsidR="004E1DEC">
        <w:rPr>
          <w:color w:val="EE0000"/>
        </w:rPr>
        <w:t>c</w:t>
      </w:r>
      <w:r w:rsidR="00F3459A">
        <w:t xml:space="preserve">ould </w:t>
      </w:r>
      <w:r w:rsidR="00486840">
        <w:t xml:space="preserve">also </w:t>
      </w:r>
      <w:r w:rsidR="00F3459A">
        <w:t xml:space="preserve">require large-volume commercial and industrial users to self-report </w:t>
      </w:r>
      <w:r w:rsidR="00806C68">
        <w:t>monthly</w:t>
      </w:r>
      <w:r w:rsidR="00F3459A">
        <w:t xml:space="preserve"> water use to DNR</w:t>
      </w:r>
      <w:r w:rsidR="00806C68">
        <w:t xml:space="preserve">. </w:t>
      </w:r>
    </w:p>
    <w:p w14:paraId="3A1AEA58" w14:textId="4939FAC4" w:rsidR="005F20E0" w:rsidRPr="00D140B0" w:rsidRDefault="00D140B0" w:rsidP="00D140B0">
      <w:pPr>
        <w:pStyle w:val="ListParagraph"/>
        <w:numPr>
          <w:ilvl w:val="0"/>
          <w:numId w:val="42"/>
        </w:numPr>
        <w:spacing w:line="276" w:lineRule="auto"/>
        <w:rPr>
          <w:b/>
          <w:bCs/>
          <w:sz w:val="28"/>
          <w:szCs w:val="28"/>
          <w:u w:val="single"/>
        </w:rPr>
      </w:pPr>
      <w:r>
        <w:t xml:space="preserve">(d) </w:t>
      </w:r>
      <w:r w:rsidR="00536B5B">
        <w:t xml:space="preserve">The Task Force recommends </w:t>
      </w:r>
      <w:r w:rsidR="006A766F">
        <w:t>p</w:t>
      </w:r>
      <w:r w:rsidR="00C47974">
        <w:t>romot</w:t>
      </w:r>
      <w:r w:rsidR="006A766F">
        <w:t>ing</w:t>
      </w:r>
      <w:r w:rsidR="00C47974">
        <w:t xml:space="preserve"> r</w:t>
      </w:r>
      <w:r w:rsidR="00C47974" w:rsidRPr="00C47974">
        <w:t xml:space="preserve">egional approaches to aquifer </w:t>
      </w:r>
      <w:commentRangeStart w:id="41"/>
      <w:r w:rsidR="00C47974" w:rsidRPr="00C47974">
        <w:t>sustainability</w:t>
      </w:r>
      <w:commentRangeEnd w:id="41"/>
      <w:r w:rsidR="00856345">
        <w:rPr>
          <w:rStyle w:val="CommentReference"/>
          <w:sz w:val="24"/>
          <w:szCs w:val="24"/>
        </w:rPr>
        <w:commentReference w:id="41"/>
      </w:r>
      <w:r w:rsidR="006A766F">
        <w:t>. For example,</w:t>
      </w:r>
      <w:r w:rsidR="00C47974" w:rsidRPr="00C47974">
        <w:t xml:space="preserve"> </w:t>
      </w:r>
      <w:r w:rsidR="006A766F">
        <w:t>w</w:t>
      </w:r>
      <w:r w:rsidR="00C47974" w:rsidRPr="00C47974">
        <w:t xml:space="preserve">ithin the Metro region the Metropolitan Council helps to fulfill this need, but we may need detailed studies for paired water and energy demand for industrial and residential growth in the South Metro Region. Similar </w:t>
      </w:r>
      <w:r w:rsidR="00C47974" w:rsidRPr="00C47974">
        <w:lastRenderedPageBreak/>
        <w:t xml:space="preserve">regional governmental structures should be created to </w:t>
      </w:r>
      <w:r w:rsidR="00C87EB4">
        <w:t xml:space="preserve">facilitate </w:t>
      </w:r>
      <w:r w:rsidR="00C47974" w:rsidRPr="00C47974">
        <w:t>this in Greater Minnesota.</w:t>
      </w:r>
    </w:p>
    <w:p w14:paraId="30D6439F" w14:textId="77777777" w:rsidR="005F20E0" w:rsidRPr="005F20E0" w:rsidRDefault="005F20E0" w:rsidP="005F20E0">
      <w:pPr>
        <w:pStyle w:val="ListParagraph"/>
        <w:rPr>
          <w:b/>
          <w:bCs/>
          <w:sz w:val="28"/>
          <w:szCs w:val="28"/>
          <w:u w:val="single"/>
        </w:rPr>
      </w:pPr>
    </w:p>
    <w:p w14:paraId="6D0A4B4E" w14:textId="3CE6C495" w:rsidR="005F20E0" w:rsidRPr="005F20E0" w:rsidRDefault="005F20E0" w:rsidP="005F20E0">
      <w:pPr>
        <w:pStyle w:val="ListParagraph"/>
        <w:numPr>
          <w:ilvl w:val="0"/>
          <w:numId w:val="30"/>
        </w:numPr>
        <w:spacing w:line="276" w:lineRule="auto"/>
        <w:rPr>
          <w:b/>
          <w:bCs/>
          <w:sz w:val="28"/>
          <w:szCs w:val="28"/>
          <w:u w:val="single"/>
        </w:rPr>
      </w:pPr>
      <w:r>
        <w:t xml:space="preserve">Per the state’s water conservation laws, </w:t>
      </w:r>
      <w:r w:rsidR="00C87EB4">
        <w:t xml:space="preserve">the Task Force recommends </w:t>
      </w:r>
      <w:r w:rsidRPr="00F2225A">
        <w:t xml:space="preserve">there should be an increase in bulk rates as the </w:t>
      </w:r>
      <w:r>
        <w:t xml:space="preserve">permitted </w:t>
      </w:r>
      <w:r w:rsidRPr="00F2225A">
        <w:t>volume of water</w:t>
      </w:r>
      <w:r>
        <w:t xml:space="preserve"> appropriation</w:t>
      </w:r>
      <w:r w:rsidRPr="00F2225A">
        <w:t xml:space="preserve"> </w:t>
      </w:r>
      <w:commentRangeStart w:id="42"/>
      <w:r w:rsidRPr="00F2225A">
        <w:t>increases</w:t>
      </w:r>
      <w:commentRangeEnd w:id="42"/>
      <w:r w:rsidR="005157ED" w:rsidRPr="00F2225A">
        <w:rPr>
          <w:rStyle w:val="CommentReference"/>
          <w:sz w:val="24"/>
          <w:szCs w:val="24"/>
        </w:rPr>
        <w:commentReference w:id="42"/>
      </w:r>
      <w:r w:rsidRPr="00F2225A">
        <w:t>.</w:t>
      </w:r>
      <w:r>
        <w:t xml:space="preserve"> A rate structure should be considered that would generate a fund that landowners can apply for to subsidize upgrading their rate and volume reporting in real-time via flow meter or similar technology for rural areas and agricultural irrigation areas. There could be volume thresholds that require real-time reporting via a flow meter and/or the overall fee would be significantly higher for those who have been grandfathered in. If there is a GWMA or DWSMA or a Sensitive Area designation, real time data and water conservation rate structures and BMP compliance should be </w:t>
      </w:r>
      <w:commentRangeStart w:id="43"/>
      <w:r>
        <w:t>mandatory</w:t>
      </w:r>
      <w:commentRangeEnd w:id="43"/>
      <w:r w:rsidR="00EA4AFF">
        <w:rPr>
          <w:rStyle w:val="CommentReference"/>
          <w:sz w:val="24"/>
          <w:szCs w:val="24"/>
        </w:rPr>
        <w:commentReference w:id="43"/>
      </w:r>
      <w:r>
        <w:t>.</w:t>
      </w:r>
    </w:p>
    <w:p w14:paraId="27B074A9" w14:textId="77777777" w:rsidR="00A20146" w:rsidRPr="00A20146" w:rsidRDefault="00A20146" w:rsidP="005F20E0">
      <w:pPr>
        <w:pStyle w:val="ListParagraph"/>
        <w:spacing w:line="276" w:lineRule="auto"/>
        <w:rPr>
          <w:b/>
          <w:bCs/>
          <w:sz w:val="28"/>
          <w:szCs w:val="28"/>
          <w:u w:val="single"/>
        </w:rPr>
      </w:pPr>
    </w:p>
    <w:p w14:paraId="30E28F7D" w14:textId="2ACB5648" w:rsidR="00256F86" w:rsidRPr="003A4CF1" w:rsidRDefault="00C87EB4" w:rsidP="00C1637A">
      <w:pPr>
        <w:pStyle w:val="ListParagraph"/>
        <w:numPr>
          <w:ilvl w:val="0"/>
          <w:numId w:val="30"/>
        </w:numPr>
        <w:spacing w:line="276" w:lineRule="auto"/>
        <w:rPr>
          <w:b/>
          <w:bCs/>
          <w:sz w:val="28"/>
          <w:szCs w:val="28"/>
          <w:u w:val="single"/>
        </w:rPr>
      </w:pPr>
      <w:r>
        <w:t xml:space="preserve">The Task Force recommends the </w:t>
      </w:r>
      <w:r w:rsidR="00093BBB">
        <w:t>appropriate governmental unit conduct a m</w:t>
      </w:r>
      <w:r w:rsidR="00256F86">
        <w:t xml:space="preserve">andatory EIS for hyperscale data centers – the most </w:t>
      </w:r>
      <w:r w:rsidR="00284904">
        <w:t>appropriate</w:t>
      </w:r>
      <w:r w:rsidR="00256F86">
        <w:t xml:space="preserve"> form of environmental review under the Minnesota Environmental Policy Act</w:t>
      </w:r>
      <w:r w:rsidR="00284904">
        <w:t xml:space="preserve"> for projects of this scale that </w:t>
      </w:r>
      <w:r w:rsidR="0034504C">
        <w:t xml:space="preserve">have the potential for significant </w:t>
      </w:r>
      <w:r w:rsidR="003A4CF1">
        <w:t xml:space="preserve">direct and indirect </w:t>
      </w:r>
      <w:r w:rsidR="0034504C">
        <w:t>environmental impacts</w:t>
      </w:r>
      <w:r w:rsidR="003A4CF1">
        <w:t xml:space="preserve">. </w:t>
      </w:r>
    </w:p>
    <w:p w14:paraId="123364B3" w14:textId="77777777" w:rsidR="003A4CF1" w:rsidRPr="003A4CF1" w:rsidRDefault="003A4CF1" w:rsidP="003A4CF1">
      <w:pPr>
        <w:pStyle w:val="ListParagraph"/>
        <w:rPr>
          <w:b/>
          <w:bCs/>
          <w:sz w:val="28"/>
          <w:szCs w:val="28"/>
          <w:u w:val="single"/>
        </w:rPr>
      </w:pPr>
    </w:p>
    <w:p w14:paraId="537A5619" w14:textId="4432FCC4" w:rsidR="00B158F1" w:rsidRPr="003A4CF1" w:rsidRDefault="00983883" w:rsidP="003A4CF1">
      <w:pPr>
        <w:pStyle w:val="ListParagraph"/>
        <w:numPr>
          <w:ilvl w:val="0"/>
          <w:numId w:val="30"/>
        </w:numPr>
        <w:spacing w:line="276" w:lineRule="auto"/>
        <w:rPr>
          <w:b/>
          <w:bCs/>
          <w:u w:val="single"/>
        </w:rPr>
      </w:pPr>
      <w:r>
        <w:t>The Task Force recommends p</w:t>
      </w:r>
      <w:r w:rsidR="003A4CF1" w:rsidRPr="003A4CF1">
        <w:t>rohibit</w:t>
      </w:r>
      <w:r>
        <w:t>ing</w:t>
      </w:r>
      <w:r w:rsidR="003A4CF1" w:rsidRPr="003A4CF1">
        <w:t xml:space="preserve"> the use of non-disclosure agreements or NDAs for large-scale industrial projects that are major water and energy users.</w:t>
      </w:r>
    </w:p>
    <w:p w14:paraId="71918F51" w14:textId="77777777" w:rsidR="003A4CF1" w:rsidRPr="003A4CF1" w:rsidRDefault="003A4CF1" w:rsidP="003A4CF1">
      <w:pPr>
        <w:pStyle w:val="ListParagraph"/>
        <w:rPr>
          <w:b/>
          <w:bCs/>
          <w:u w:val="single"/>
        </w:rPr>
      </w:pPr>
    </w:p>
    <w:p w14:paraId="0BCDA4D6" w14:textId="3576FB25" w:rsidR="006D7B4D" w:rsidRPr="006D7B4D" w:rsidRDefault="008F6503" w:rsidP="006D7B4D">
      <w:pPr>
        <w:pStyle w:val="ListParagraph"/>
        <w:numPr>
          <w:ilvl w:val="0"/>
          <w:numId w:val="30"/>
        </w:numPr>
        <w:spacing w:line="276" w:lineRule="auto"/>
        <w:rPr>
          <w:b/>
          <w:bCs/>
          <w:sz w:val="28"/>
          <w:szCs w:val="28"/>
          <w:u w:val="single"/>
        </w:rPr>
      </w:pPr>
      <w:r>
        <w:t>At the same time</w:t>
      </w:r>
      <w:r w:rsidR="00983883">
        <w:t>, the Task Force e</w:t>
      </w:r>
      <w:r w:rsidR="003A4CF1" w:rsidRPr="005F20E0">
        <w:t>ncourage</w:t>
      </w:r>
      <w:r w:rsidR="00983883">
        <w:t>s</w:t>
      </w:r>
      <w:r w:rsidR="003A4CF1" w:rsidRPr="005F20E0">
        <w:t xml:space="preserve"> the use of community benefit agreements (CBAs) by local governments that incorporate large-volume users. Data centers and other large-volume commercial and industrial water users should </w:t>
      </w:r>
      <w:r w:rsidR="00983883">
        <w:t xml:space="preserve">be required to </w:t>
      </w:r>
      <w:r w:rsidR="003A4CF1" w:rsidRPr="005F20E0">
        <w:t xml:space="preserve">cover the cost of additional infrastructure (water utility, wastewater) necessary to handle their water demand, which can be negotiated </w:t>
      </w:r>
      <w:r w:rsidR="00D02A59">
        <w:t xml:space="preserve">in a transparent manner </w:t>
      </w:r>
      <w:r w:rsidR="003A4CF1" w:rsidRPr="005F20E0">
        <w:t>via CBAs</w:t>
      </w:r>
      <w:r w:rsidR="00D02A59">
        <w:t>.</w:t>
      </w:r>
    </w:p>
    <w:p w14:paraId="40145BA2" w14:textId="77777777" w:rsidR="006D7B4D" w:rsidRPr="006D7B4D" w:rsidRDefault="006D7B4D" w:rsidP="006D7B4D">
      <w:pPr>
        <w:spacing w:line="276" w:lineRule="auto"/>
        <w:rPr>
          <w:b/>
          <w:bCs/>
          <w:sz w:val="28"/>
          <w:szCs w:val="28"/>
          <w:u w:val="single"/>
        </w:rPr>
      </w:pPr>
    </w:p>
    <w:p w14:paraId="5120816B" w14:textId="77777777" w:rsidR="006D7B4D" w:rsidRPr="006D7B4D" w:rsidRDefault="00373DE5" w:rsidP="006D7B4D">
      <w:pPr>
        <w:pStyle w:val="ListParagraph"/>
        <w:numPr>
          <w:ilvl w:val="0"/>
          <w:numId w:val="30"/>
        </w:numPr>
        <w:spacing w:line="276" w:lineRule="auto"/>
        <w:rPr>
          <w:b/>
          <w:bCs/>
          <w:sz w:val="28"/>
          <w:szCs w:val="28"/>
          <w:u w:val="single"/>
        </w:rPr>
      </w:pPr>
      <w:r w:rsidRPr="005F20E0">
        <w:t>Run incentives in the right direction:</w:t>
      </w:r>
      <w:r>
        <w:t xml:space="preserve"> Data center tax breaks must be tied to mandatory water conservation practices such as water reuse, clean energy use with less indirect water footprint. For large-volume commercial and industrial water users, encourage alternate water sources other than groundwater: water reuse, surface water sources, etc. Promote efficient design with emphasis on water circularity. Incentivize closed loop geothermal systems and water reuse systems.</w:t>
      </w:r>
    </w:p>
    <w:p w14:paraId="6711C7A7" w14:textId="77777777" w:rsidR="006D7B4D" w:rsidRDefault="006D7B4D" w:rsidP="006D7B4D">
      <w:pPr>
        <w:pStyle w:val="ListParagraph"/>
      </w:pPr>
    </w:p>
    <w:p w14:paraId="29748A25" w14:textId="05C77D59" w:rsidR="000010F5" w:rsidRPr="006D7B4D" w:rsidRDefault="00D02A59" w:rsidP="006D7B4D">
      <w:pPr>
        <w:pStyle w:val="ListParagraph"/>
        <w:numPr>
          <w:ilvl w:val="0"/>
          <w:numId w:val="30"/>
        </w:numPr>
        <w:spacing w:line="276" w:lineRule="auto"/>
        <w:rPr>
          <w:b/>
          <w:bCs/>
          <w:sz w:val="28"/>
          <w:szCs w:val="28"/>
          <w:u w:val="single"/>
        </w:rPr>
      </w:pPr>
      <w:r>
        <w:t xml:space="preserve">The Task Force </w:t>
      </w:r>
      <w:r w:rsidR="00AE6215" w:rsidRPr="006D7B4D">
        <w:rPr>
          <w:color w:val="EE0000"/>
        </w:rPr>
        <w:t xml:space="preserve">strongly </w:t>
      </w:r>
      <w:r>
        <w:t>recommends m</w:t>
      </w:r>
      <w:r w:rsidR="005065F3" w:rsidRPr="005F20E0">
        <w:t>aintain</w:t>
      </w:r>
      <w:r>
        <w:t>ing</w:t>
      </w:r>
      <w:r w:rsidR="005065F3" w:rsidRPr="005F20E0">
        <w:t xml:space="preserve"> an adequate fund</w:t>
      </w:r>
      <w:r w:rsidR="003A4CF1">
        <w:t>ing</w:t>
      </w:r>
      <w:r w:rsidR="005065F3" w:rsidRPr="005F20E0">
        <w:t xml:space="preserve"> base for the Minnesota Geological Survey and continued support for </w:t>
      </w:r>
      <w:r w:rsidR="005F20E0">
        <w:t xml:space="preserve">developing </w:t>
      </w:r>
      <w:r w:rsidR="005065F3" w:rsidRPr="005F20E0">
        <w:t>county geologic atlases</w:t>
      </w:r>
      <w:r w:rsidR="005F20E0">
        <w:t>.</w:t>
      </w:r>
      <w:r w:rsidR="005065F3">
        <w:t xml:space="preserve"> This will allow for the continued use/refinement/distribution of county geologic atlases which provide the basis of our groundwater supply knowledge in </w:t>
      </w:r>
      <w:commentRangeStart w:id="44"/>
      <w:r w:rsidR="005065F3">
        <w:t>Minnesota</w:t>
      </w:r>
      <w:commentRangeEnd w:id="44"/>
      <w:r w:rsidR="00B45667">
        <w:rPr>
          <w:rStyle w:val="CommentReference"/>
          <w:sz w:val="24"/>
          <w:szCs w:val="24"/>
        </w:rPr>
        <w:commentReference w:id="44"/>
      </w:r>
      <w:r w:rsidR="005F20E0">
        <w:t>.</w:t>
      </w:r>
      <w:r w:rsidR="000010F5" w:rsidRPr="006D7B4D">
        <w:rPr>
          <w:highlight w:val="yellow"/>
        </w:rPr>
        <w:t xml:space="preserve"> </w:t>
      </w:r>
    </w:p>
    <w:p w14:paraId="01791F78" w14:textId="77777777" w:rsidR="005B1507" w:rsidRDefault="005B1507" w:rsidP="005B1507">
      <w:pPr>
        <w:pStyle w:val="NoSpacing"/>
        <w:ind w:left="720"/>
        <w:rPr>
          <w:highlight w:val="yellow"/>
        </w:rPr>
      </w:pPr>
    </w:p>
    <w:p w14:paraId="609BD55C" w14:textId="1BDE57B3" w:rsidR="00F17DA7" w:rsidRPr="00306FDF" w:rsidRDefault="0012342B" w:rsidP="00C1637A">
      <w:pPr>
        <w:pStyle w:val="ListParagraph"/>
        <w:numPr>
          <w:ilvl w:val="0"/>
          <w:numId w:val="30"/>
        </w:numPr>
        <w:spacing w:line="276" w:lineRule="auto"/>
        <w:rPr>
          <w:b/>
          <w:bCs/>
          <w:color w:val="EE0000"/>
          <w:sz w:val="28"/>
          <w:szCs w:val="28"/>
          <w:u w:val="single"/>
        </w:rPr>
      </w:pPr>
      <w:r w:rsidRPr="00306FDF">
        <w:rPr>
          <w:color w:val="EE0000"/>
        </w:rPr>
        <w:t>WRAPS should include and emphasize groundwater resources.</w:t>
      </w:r>
      <w:r w:rsidR="00A41403" w:rsidRPr="00306FDF">
        <w:rPr>
          <w:color w:val="EE0000"/>
        </w:rPr>
        <w:t xml:space="preserve"> County Geologic Atlases are critical sources of groundwater resource information that can and should be incorporated in</w:t>
      </w:r>
      <w:r w:rsidR="006D7B4D" w:rsidRPr="00306FDF">
        <w:rPr>
          <w:color w:val="EE0000"/>
        </w:rPr>
        <w:t>to</w:t>
      </w:r>
      <w:r w:rsidR="00A41403" w:rsidRPr="00306FDF">
        <w:rPr>
          <w:color w:val="EE0000"/>
        </w:rPr>
        <w:t xml:space="preserve"> comprehensive watershed restoration</w:t>
      </w:r>
      <w:r w:rsidR="006D7B4D" w:rsidRPr="00306FDF">
        <w:rPr>
          <w:color w:val="EE0000"/>
        </w:rPr>
        <w:t xml:space="preserve"> and protection strategies.</w:t>
      </w:r>
    </w:p>
    <w:p w14:paraId="519177B5" w14:textId="77777777" w:rsidR="00C52BE4" w:rsidRDefault="00C52BE4" w:rsidP="00C1637A">
      <w:pPr>
        <w:pStyle w:val="ListParagraph"/>
        <w:spacing w:line="276" w:lineRule="auto"/>
      </w:pPr>
    </w:p>
    <w:p w14:paraId="5EE3506E" w14:textId="1F9F3F2D" w:rsidR="00C52BE4" w:rsidRPr="00F2225A" w:rsidRDefault="00C10262" w:rsidP="00C1637A">
      <w:pPr>
        <w:pStyle w:val="ListParagraph"/>
        <w:numPr>
          <w:ilvl w:val="0"/>
          <w:numId w:val="30"/>
        </w:numPr>
        <w:spacing w:line="276" w:lineRule="auto"/>
      </w:pPr>
      <w:r>
        <w:t xml:space="preserve">Equity in </w:t>
      </w:r>
      <w:r w:rsidR="00C52BE4" w:rsidRPr="00F2225A">
        <w:t xml:space="preserve">Conservation requirements: Ensure that public utilities that apply conservation requirements during drought apply </w:t>
      </w:r>
      <w:r w:rsidR="003A4CF1">
        <w:t>those requirements to</w:t>
      </w:r>
      <w:r w:rsidR="00C52BE4" w:rsidRPr="00F2225A">
        <w:t xml:space="preserve"> all of their customers </w:t>
      </w:r>
      <w:commentRangeStart w:id="45"/>
      <w:r w:rsidR="00C52BE4" w:rsidRPr="00F2225A">
        <w:t>equitably</w:t>
      </w:r>
      <w:commentRangeEnd w:id="45"/>
      <w:r w:rsidR="00675B3F" w:rsidRPr="00F2225A">
        <w:rPr>
          <w:rStyle w:val="CommentReference"/>
          <w:sz w:val="24"/>
          <w:szCs w:val="24"/>
        </w:rPr>
        <w:commentReference w:id="45"/>
      </w:r>
      <w:r w:rsidR="00C52BE4" w:rsidRPr="00F2225A">
        <w:t>.</w:t>
      </w:r>
    </w:p>
    <w:p w14:paraId="26668EA9" w14:textId="609159BD" w:rsidR="00FA3B79" w:rsidRDefault="008F67CB" w:rsidP="008F67CB">
      <w:r>
        <w:br w:type="page"/>
      </w:r>
    </w:p>
    <w:p w14:paraId="55122063" w14:textId="76F82253" w:rsidR="00F17DA7" w:rsidRPr="00715210" w:rsidRDefault="00F17DA7" w:rsidP="00C1637A">
      <w:pPr>
        <w:pStyle w:val="IntenseQuote"/>
        <w:spacing w:line="276" w:lineRule="auto"/>
      </w:pPr>
      <w:r w:rsidRPr="00715210">
        <w:lastRenderedPageBreak/>
        <w:t>Agriculture</w:t>
      </w:r>
      <w:r w:rsidR="00EA471C" w:rsidRPr="00715210">
        <w:t xml:space="preserve"> Practices</w:t>
      </w:r>
      <w:r w:rsidRPr="00715210">
        <w:t>/Nutrients</w:t>
      </w:r>
    </w:p>
    <w:p w14:paraId="53319536" w14:textId="20CFC081" w:rsidR="00390B54" w:rsidRPr="00810767" w:rsidRDefault="008624BE" w:rsidP="00810767">
      <w:pPr>
        <w:pStyle w:val="NormalWeb"/>
        <w:spacing w:line="276" w:lineRule="auto"/>
        <w:rPr>
          <w:rFonts w:asciiTheme="minorHAnsi" w:hAnsiTheme="minorHAnsi" w:cs="Calibri"/>
        </w:rPr>
      </w:pPr>
      <w:r>
        <w:rPr>
          <w:rFonts w:asciiTheme="minorHAnsi" w:hAnsiTheme="minorHAnsi" w:cs="Calibri"/>
        </w:rPr>
        <w:t>Agricultural tile</w:t>
      </w:r>
      <w:r w:rsidR="00390B54" w:rsidRPr="00390B54">
        <w:rPr>
          <w:rFonts w:asciiTheme="minorHAnsi" w:hAnsiTheme="minorHAnsi" w:cs="Calibri"/>
        </w:rPr>
        <w:t xml:space="preserve"> drainage fundamentally alters hydrologic </w:t>
      </w:r>
      <w:commentRangeStart w:id="46"/>
      <w:r w:rsidR="00390B54" w:rsidRPr="00390B54">
        <w:rPr>
          <w:rFonts w:asciiTheme="minorHAnsi" w:hAnsiTheme="minorHAnsi" w:cs="Calibri"/>
        </w:rPr>
        <w:t>regimes</w:t>
      </w:r>
      <w:commentRangeEnd w:id="46"/>
      <w:r w:rsidR="00732A0C" w:rsidRPr="00390B54">
        <w:rPr>
          <w:rStyle w:val="CommentReference"/>
          <w:rFonts w:asciiTheme="minorHAnsi" w:hAnsiTheme="minorHAnsi" w:cs="Calibri"/>
          <w:sz w:val="24"/>
          <w:szCs w:val="24"/>
        </w:rPr>
        <w:commentReference w:id="46"/>
      </w:r>
      <w:r w:rsidR="00390B54" w:rsidRPr="00390B54">
        <w:rPr>
          <w:rFonts w:asciiTheme="minorHAnsi" w:hAnsiTheme="minorHAnsi" w:cs="Calibri"/>
        </w:rPr>
        <w:t xml:space="preserve">, accelerates nutrient transport, and is a well-documented contributor to nitrate loading in surface and </w:t>
      </w:r>
      <w:commentRangeStart w:id="47"/>
      <w:commentRangeStart w:id="48"/>
      <w:r w:rsidR="00390B54" w:rsidRPr="00390B54">
        <w:rPr>
          <w:rFonts w:asciiTheme="minorHAnsi" w:hAnsiTheme="minorHAnsi" w:cs="Calibri"/>
        </w:rPr>
        <w:t>groundwater</w:t>
      </w:r>
      <w:commentRangeEnd w:id="47"/>
      <w:r w:rsidR="00ED7716" w:rsidRPr="00390B54">
        <w:rPr>
          <w:rStyle w:val="CommentReference"/>
          <w:rFonts w:asciiTheme="minorHAnsi" w:hAnsiTheme="minorHAnsi" w:cs="Calibri"/>
          <w:sz w:val="24"/>
          <w:szCs w:val="24"/>
        </w:rPr>
        <w:commentReference w:id="47"/>
      </w:r>
      <w:commentRangeEnd w:id="48"/>
      <w:r w:rsidR="006950ED" w:rsidRPr="00390B54">
        <w:rPr>
          <w:rStyle w:val="CommentReference"/>
          <w:rFonts w:asciiTheme="minorHAnsi" w:hAnsiTheme="minorHAnsi" w:cs="Calibri"/>
          <w:sz w:val="24"/>
          <w:szCs w:val="24"/>
        </w:rPr>
        <w:commentReference w:id="48"/>
      </w:r>
      <w:r w:rsidR="00390B54" w:rsidRPr="00390B54">
        <w:rPr>
          <w:rFonts w:asciiTheme="minorHAnsi" w:hAnsiTheme="minorHAnsi" w:cs="Calibri"/>
        </w:rPr>
        <w:t xml:space="preserve">. Yet it remains largely unregulated and unmonitored, despite its scale and documented impacts. This stands in contrast to other </w:t>
      </w:r>
      <w:r w:rsidR="00473810">
        <w:rPr>
          <w:rFonts w:asciiTheme="minorHAnsi" w:hAnsiTheme="minorHAnsi" w:cs="Calibri"/>
        </w:rPr>
        <w:t xml:space="preserve">regulated </w:t>
      </w:r>
      <w:r w:rsidR="00390B54" w:rsidRPr="00390B54">
        <w:rPr>
          <w:rFonts w:asciiTheme="minorHAnsi" w:hAnsiTheme="minorHAnsi" w:cs="Calibri"/>
        </w:rPr>
        <w:t>activities—such as septic systems</w:t>
      </w:r>
      <w:r w:rsidR="00473810">
        <w:rPr>
          <w:rFonts w:asciiTheme="minorHAnsi" w:hAnsiTheme="minorHAnsi" w:cs="Calibri"/>
        </w:rPr>
        <w:t xml:space="preserve">, </w:t>
      </w:r>
      <w:r w:rsidR="00810767">
        <w:rPr>
          <w:rFonts w:asciiTheme="minorHAnsi" w:hAnsiTheme="minorHAnsi" w:cs="Calibri"/>
        </w:rPr>
        <w:t>industrial dischargers</w:t>
      </w:r>
      <w:r w:rsidR="00390B54" w:rsidRPr="00390B54">
        <w:rPr>
          <w:rFonts w:asciiTheme="minorHAnsi" w:hAnsiTheme="minorHAnsi" w:cs="Calibri"/>
        </w:rPr>
        <w:t xml:space="preserve"> or municipal wastewater treatment—that are subject to extensive permitting, monitoring, and enforcement, even when their relative contribution to nutrient loading may be smaller. Such inconsistencies undermine both environmental outcomes and public confidence in the fairness of regulatory systems.</w:t>
      </w:r>
      <w:r w:rsidR="00452C77">
        <w:rPr>
          <w:rFonts w:asciiTheme="minorHAnsi" w:hAnsiTheme="minorHAnsi" w:cs="Calibri"/>
        </w:rPr>
        <w:t xml:space="preserve"> Importantly, better technology exists today to hold water on the land</w:t>
      </w:r>
      <w:r w:rsidR="00BE5D67">
        <w:rPr>
          <w:rFonts w:asciiTheme="minorHAnsi" w:hAnsiTheme="minorHAnsi" w:cs="Calibri"/>
        </w:rPr>
        <w:t xml:space="preserve">, and Minnesota’s Buffer Law is a good </w:t>
      </w:r>
      <w:r w:rsidR="00BE5D67" w:rsidRPr="00AD367D">
        <w:rPr>
          <w:rFonts w:asciiTheme="minorHAnsi" w:hAnsiTheme="minorHAnsi" w:cs="Calibri"/>
        </w:rPr>
        <w:t>example of</w:t>
      </w:r>
      <w:r w:rsidR="00BE5D67">
        <w:rPr>
          <w:rFonts w:asciiTheme="minorHAnsi" w:hAnsiTheme="minorHAnsi" w:cs="Calibri"/>
        </w:rPr>
        <w:t xml:space="preserve"> </w:t>
      </w:r>
      <w:r w:rsidR="00D46BC1">
        <w:rPr>
          <w:rFonts w:asciiTheme="minorHAnsi" w:hAnsiTheme="minorHAnsi" w:cs="Calibri"/>
        </w:rPr>
        <w:t>a state-specific watershed protection and nutrient management policy that has resulted in improved</w:t>
      </w:r>
      <w:r w:rsidR="00E72C6A">
        <w:rPr>
          <w:rFonts w:asciiTheme="minorHAnsi" w:hAnsiTheme="minorHAnsi" w:cs="Calibri"/>
        </w:rPr>
        <w:t xml:space="preserve"> water quality</w:t>
      </w:r>
      <w:r w:rsidR="00576D2B">
        <w:rPr>
          <w:rFonts w:asciiTheme="minorHAnsi" w:hAnsiTheme="minorHAnsi" w:cs="Calibri"/>
        </w:rPr>
        <w:t xml:space="preserve">, </w:t>
      </w:r>
      <w:r w:rsidR="002B3066">
        <w:rPr>
          <w:rFonts w:asciiTheme="minorHAnsi" w:hAnsiTheme="minorHAnsi" w:cs="Calibri"/>
        </w:rPr>
        <w:t xml:space="preserve">through local implementation and landowner financial </w:t>
      </w:r>
      <w:r w:rsidR="007907DE">
        <w:rPr>
          <w:rFonts w:asciiTheme="minorHAnsi" w:hAnsiTheme="minorHAnsi" w:cs="Calibri"/>
        </w:rPr>
        <w:t>assistance</w:t>
      </w:r>
      <w:r w:rsidR="002B3066">
        <w:rPr>
          <w:rFonts w:asciiTheme="minorHAnsi" w:hAnsiTheme="minorHAnsi" w:cs="Calibri"/>
        </w:rPr>
        <w:t>.</w:t>
      </w:r>
      <w:r w:rsidR="00576D2B">
        <w:rPr>
          <w:rFonts w:asciiTheme="minorHAnsi" w:hAnsiTheme="minorHAnsi" w:cs="Calibri"/>
        </w:rPr>
        <w:t xml:space="preserve"> </w:t>
      </w:r>
    </w:p>
    <w:p w14:paraId="33714D7B" w14:textId="7F40068A" w:rsidR="00F17DA7" w:rsidRDefault="00F17DA7" w:rsidP="00C1637A">
      <w:pPr>
        <w:shd w:val="clear" w:color="auto" w:fill="FFFFFF"/>
        <w:spacing w:before="100" w:beforeAutospacing="1" w:after="100" w:afterAutospacing="1" w:line="276" w:lineRule="auto"/>
        <w:textAlignment w:val="baseline"/>
      </w:pPr>
      <w:r w:rsidRPr="003D0C75">
        <w:t xml:space="preserve">The issue of nutrient management in Minnesota requires landscape-scale changes across both rural and urban areas to meet water quality standards within the state and load reduction commitments for downstream waters. The challenges are summarized and guided by the comprehensive </w:t>
      </w:r>
      <w:r w:rsidRPr="003D0C75">
        <w:rPr>
          <w:b/>
          <w:bCs/>
        </w:rPr>
        <w:t xml:space="preserve">Minnesota Nutrient Reduction Strategy (NRS), </w:t>
      </w:r>
      <w:r w:rsidRPr="003D0C75">
        <w:t>initially introduced in 2014 and periodically updated, which coordinates the multi-agency response to this complex problem</w:t>
      </w:r>
      <w:r w:rsidR="0062307F">
        <w:t xml:space="preserve">: </w:t>
      </w:r>
      <w:hyperlink r:id="rId14" w:history="1">
        <w:r w:rsidR="0062307F" w:rsidRPr="00F70E53">
          <w:rPr>
            <w:rStyle w:val="Hyperlink"/>
          </w:rPr>
          <w:t>https://www.pca.state.mn.us/air-water-land-climate/minnesota-nutrient-reduction-strategy</w:t>
        </w:r>
      </w:hyperlink>
    </w:p>
    <w:p w14:paraId="5BCB6C11" w14:textId="77777777" w:rsidR="00C56B77" w:rsidRDefault="00AC628B" w:rsidP="000908EA">
      <w:pPr>
        <w:spacing w:line="276" w:lineRule="auto"/>
        <w:rPr>
          <w:color w:val="EE0000"/>
        </w:rPr>
      </w:pPr>
      <w:r>
        <w:t>But there</w:t>
      </w:r>
      <w:r w:rsidR="00F17DA7">
        <w:t xml:space="preserve"> must</w:t>
      </w:r>
      <w:r>
        <w:t xml:space="preserve"> also</w:t>
      </w:r>
      <w:r w:rsidR="00F17DA7">
        <w:t xml:space="preserve"> be a </w:t>
      </w:r>
      <w:r w:rsidR="00F17DA7" w:rsidRPr="00421789">
        <w:t>focus at the local level</w:t>
      </w:r>
      <w:r w:rsidR="00F17DA7">
        <w:t xml:space="preserve"> where citizens can work together to craft solutions for their own areas of the state</w:t>
      </w:r>
      <w:r w:rsidR="00421789">
        <w:t>,</w:t>
      </w:r>
      <w:r w:rsidR="00F17DA7">
        <w:t xml:space="preserve"> </w:t>
      </w:r>
      <w:r w:rsidR="00421789">
        <w:t xml:space="preserve">applicable </w:t>
      </w:r>
      <w:r w:rsidR="00F17DA7">
        <w:t xml:space="preserve">to the complex and variable soils and geologic conditions that threaten groundwater quality in various </w:t>
      </w:r>
      <w:commentRangeStart w:id="49"/>
      <w:r w:rsidR="00F17DA7">
        <w:t>ways</w:t>
      </w:r>
      <w:commentRangeEnd w:id="49"/>
      <w:r w:rsidR="00E30BB2">
        <w:rPr>
          <w:rStyle w:val="CommentReference"/>
          <w:sz w:val="24"/>
          <w:szCs w:val="24"/>
        </w:rPr>
        <w:commentReference w:id="49"/>
      </w:r>
      <w:r w:rsidR="00F17DA7">
        <w:t>.</w:t>
      </w:r>
      <w:r w:rsidR="00F17DA7" w:rsidRPr="0045103D">
        <w:rPr>
          <w:color w:val="EE0000"/>
        </w:rPr>
        <w:t xml:space="preserve"> </w:t>
      </w:r>
      <w:r w:rsidR="0045103D" w:rsidRPr="003D01B0">
        <w:rPr>
          <w:color w:val="EE0000"/>
        </w:rPr>
        <w:t>Examples</w:t>
      </w:r>
      <w:r w:rsidR="00F17DA7" w:rsidRPr="003D01B0">
        <w:rPr>
          <w:color w:val="EE0000"/>
        </w:rPr>
        <w:t xml:space="preserve"> of </w:t>
      </w:r>
      <w:r w:rsidR="0045103D" w:rsidRPr="003D01B0">
        <w:rPr>
          <w:color w:val="EE0000"/>
        </w:rPr>
        <w:t>relevant</w:t>
      </w:r>
      <w:r w:rsidR="00F17DA7" w:rsidRPr="003D01B0">
        <w:rPr>
          <w:color w:val="EE0000"/>
        </w:rPr>
        <w:t xml:space="preserve"> stud</w:t>
      </w:r>
      <w:r w:rsidR="0045103D" w:rsidRPr="003D01B0">
        <w:rPr>
          <w:color w:val="EE0000"/>
        </w:rPr>
        <w:t>ies</w:t>
      </w:r>
      <w:r w:rsidR="00F17DA7" w:rsidRPr="003D01B0">
        <w:rPr>
          <w:color w:val="EE0000"/>
        </w:rPr>
        <w:t xml:space="preserve"> and plan</w:t>
      </w:r>
      <w:r w:rsidR="0045103D" w:rsidRPr="003D01B0">
        <w:rPr>
          <w:color w:val="EE0000"/>
        </w:rPr>
        <w:t>s</w:t>
      </w:r>
      <w:r w:rsidR="000908EA" w:rsidRPr="003D01B0">
        <w:rPr>
          <w:color w:val="EE0000"/>
        </w:rPr>
        <w:t xml:space="preserve"> that w</w:t>
      </w:r>
      <w:r w:rsidR="0045103D" w:rsidRPr="003D01B0">
        <w:rPr>
          <w:color w:val="EE0000"/>
        </w:rPr>
        <w:t xml:space="preserve">ere </w:t>
      </w:r>
      <w:r w:rsidR="000908EA" w:rsidRPr="003D01B0">
        <w:rPr>
          <w:color w:val="EE0000"/>
        </w:rPr>
        <w:t>brought to the Task Force’s attention</w:t>
      </w:r>
      <w:r w:rsidR="00F17DA7" w:rsidRPr="003D01B0">
        <w:rPr>
          <w:color w:val="EE0000"/>
        </w:rPr>
        <w:t xml:space="preserve"> </w:t>
      </w:r>
      <w:r w:rsidR="0045103D" w:rsidRPr="003D01B0">
        <w:rPr>
          <w:color w:val="EE0000"/>
        </w:rPr>
        <w:t xml:space="preserve">include: </w:t>
      </w:r>
    </w:p>
    <w:p w14:paraId="11BE1CC7" w14:textId="083EA260" w:rsidR="00C56B77" w:rsidRPr="00EE1A5E" w:rsidRDefault="00EE1A5E" w:rsidP="00EE1A5E">
      <w:pPr>
        <w:pStyle w:val="ListParagraph"/>
        <w:numPr>
          <w:ilvl w:val="0"/>
          <w:numId w:val="47"/>
        </w:numPr>
        <w:spacing w:line="276" w:lineRule="auto"/>
        <w:rPr>
          <w:color w:val="EE0000"/>
        </w:rPr>
      </w:pPr>
      <w:r w:rsidRPr="00EE1A5E">
        <w:rPr>
          <w:color w:val="EE0000"/>
        </w:rPr>
        <w:t xml:space="preserve">A Dakota County groundwater nitrate report: </w:t>
      </w:r>
      <w:hyperlink r:id="rId15" w:history="1">
        <w:r w:rsidR="00C56B77" w:rsidRPr="00EE1A5E">
          <w:rPr>
            <w:color w:val="0000FF"/>
            <w:u w:val="single"/>
          </w:rPr>
          <w:t>AmbientGroundwaterStudy2019.pdf</w:t>
        </w:r>
      </w:hyperlink>
    </w:p>
    <w:p w14:paraId="0F6F64AE" w14:textId="049B606B" w:rsidR="00EE1A5E" w:rsidRPr="00A47093" w:rsidRDefault="009C04D6" w:rsidP="00EE1A5E">
      <w:pPr>
        <w:pStyle w:val="ListParagraph"/>
        <w:numPr>
          <w:ilvl w:val="0"/>
          <w:numId w:val="47"/>
        </w:numPr>
        <w:spacing w:line="276" w:lineRule="auto"/>
        <w:rPr>
          <w:color w:val="EE0000"/>
        </w:rPr>
      </w:pPr>
      <w:r>
        <w:rPr>
          <w:color w:val="EE0000"/>
        </w:rPr>
        <w:t xml:space="preserve">A Dakota County nitrate modeling report: </w:t>
      </w:r>
      <w:hyperlink r:id="rId16" w:history="1">
        <w:r w:rsidR="00A47093" w:rsidRPr="00A47093">
          <w:rPr>
            <w:color w:val="0000FF"/>
            <w:u w:val="single"/>
          </w:rPr>
          <w:t>Dakota County Groundwater Nitrate Modeling</w:t>
        </w:r>
      </w:hyperlink>
    </w:p>
    <w:p w14:paraId="1A384371" w14:textId="132AFFA4" w:rsidR="00F17DA7" w:rsidRPr="00A45089" w:rsidRDefault="00A45089" w:rsidP="000908EA">
      <w:pPr>
        <w:pStyle w:val="ListParagraph"/>
        <w:numPr>
          <w:ilvl w:val="0"/>
          <w:numId w:val="47"/>
        </w:numPr>
        <w:spacing w:line="276" w:lineRule="auto"/>
        <w:rPr>
          <w:color w:val="EE0000"/>
        </w:rPr>
      </w:pPr>
      <w:r>
        <w:rPr>
          <w:color w:val="EE0000"/>
        </w:rPr>
        <w:t>Southeast Minnesota Nitrate Work Group report</w:t>
      </w:r>
      <w:r w:rsidR="00993020">
        <w:rPr>
          <w:color w:val="EE0000"/>
        </w:rPr>
        <w:t xml:space="preserve"> (in response to EPA petition)</w:t>
      </w:r>
      <w:r>
        <w:rPr>
          <w:color w:val="EE0000"/>
        </w:rPr>
        <w:t xml:space="preserve">: </w:t>
      </w:r>
      <w:hyperlink r:id="rId17" w:history="1">
        <w:r w:rsidR="00F17DA7">
          <w:rPr>
            <w:rStyle w:val="Hyperlink"/>
          </w:rPr>
          <w:t>Report of Recommendations: Southeast Minnesota Nitrate Strategies Collaborative Work Group</w:t>
        </w:r>
      </w:hyperlink>
      <w:r w:rsidR="000908EA">
        <w:t>.</w:t>
      </w:r>
    </w:p>
    <w:p w14:paraId="7B80049D" w14:textId="47425092" w:rsidR="00F17DA7" w:rsidRDefault="00645611" w:rsidP="000932BF">
      <w:pPr>
        <w:spacing w:line="276" w:lineRule="auto"/>
      </w:pPr>
      <w:r>
        <w:t>The Task Force recommends s</w:t>
      </w:r>
      <w:r w:rsidR="000908EA">
        <w:t>ome of the</w:t>
      </w:r>
      <w:r w:rsidR="007E43F8">
        <w:t xml:space="preserve"> </w:t>
      </w:r>
      <w:r w:rsidR="000908EA">
        <w:t>strat</w:t>
      </w:r>
      <w:r w:rsidR="007E43F8">
        <w:t>egies identified in th</w:t>
      </w:r>
      <w:r w:rsidR="00993020">
        <w:t>ese</w:t>
      </w:r>
      <w:r w:rsidR="007E43F8">
        <w:t xml:space="preserve"> </w:t>
      </w:r>
      <w:r>
        <w:t>report</w:t>
      </w:r>
      <w:r w:rsidR="00993020">
        <w:t>s</w:t>
      </w:r>
      <w:r w:rsidR="007E43F8">
        <w:t xml:space="preserve"> </w:t>
      </w:r>
      <w:r>
        <w:t xml:space="preserve">that </w:t>
      </w:r>
      <w:r w:rsidR="007E43F8">
        <w:t>are broadly relevant</w:t>
      </w:r>
      <w:r>
        <w:t xml:space="preserve"> throughout the state:</w:t>
      </w:r>
    </w:p>
    <w:p w14:paraId="793DEE92" w14:textId="21B0CD60" w:rsidR="00F17DA7" w:rsidRDefault="00F17DA7" w:rsidP="000932BF">
      <w:pPr>
        <w:pStyle w:val="ListParagraph"/>
        <w:numPr>
          <w:ilvl w:val="0"/>
          <w:numId w:val="9"/>
        </w:numPr>
        <w:spacing w:line="276" w:lineRule="auto"/>
      </w:pPr>
      <w:r>
        <w:lastRenderedPageBreak/>
        <w:t xml:space="preserve">Continue to promote and incentivize policy and programs with the goal of increasing living cover. Many </w:t>
      </w:r>
      <w:r w:rsidR="00645611">
        <w:t>BMP options</w:t>
      </w:r>
      <w:r>
        <w:t xml:space="preserve"> exist t</w:t>
      </w:r>
      <w:r w:rsidR="00645611">
        <w:t>hat</w:t>
      </w:r>
      <w:r>
        <w:t xml:space="preserve"> increase the amount of living cover </w:t>
      </w:r>
      <w:r w:rsidR="00645611">
        <w:t>across</w:t>
      </w:r>
      <w:r>
        <w:t xml:space="preserve"> the </w:t>
      </w:r>
      <w:commentRangeStart w:id="50"/>
      <w:r>
        <w:t>landscape</w:t>
      </w:r>
      <w:commentRangeEnd w:id="50"/>
      <w:r w:rsidR="00107C15">
        <w:rPr>
          <w:rStyle w:val="CommentReference"/>
          <w:sz w:val="24"/>
          <w:szCs w:val="24"/>
        </w:rPr>
        <w:commentReference w:id="50"/>
      </w:r>
      <w:r>
        <w:t>.</w:t>
      </w:r>
    </w:p>
    <w:p w14:paraId="57F65AD6" w14:textId="77777777" w:rsidR="00F17DA7" w:rsidRDefault="00F17DA7" w:rsidP="00C1637A">
      <w:pPr>
        <w:pStyle w:val="ListParagraph"/>
        <w:numPr>
          <w:ilvl w:val="0"/>
          <w:numId w:val="9"/>
        </w:numPr>
        <w:spacing w:line="276" w:lineRule="auto"/>
      </w:pPr>
      <w:r>
        <w:t>Promote viable market opportunities for small grain farmers as well as hay and pasture-based livestock producers.</w:t>
      </w:r>
    </w:p>
    <w:p w14:paraId="2107B111" w14:textId="3B77FBCC" w:rsidR="00F17DA7" w:rsidRDefault="00F17DA7" w:rsidP="00C1637A">
      <w:pPr>
        <w:pStyle w:val="ListParagraph"/>
        <w:numPr>
          <w:ilvl w:val="0"/>
          <w:numId w:val="9"/>
        </w:numPr>
        <w:spacing w:line="276" w:lineRule="auto"/>
      </w:pPr>
      <w:r>
        <w:t>Utilize existing programs by expanding access and tailoring to promote nitrate reduction. (i.e., access to Agronomist, funds for testing nitrate in GW, expand</w:t>
      </w:r>
      <w:r w:rsidR="006D504F">
        <w:t>ed</w:t>
      </w:r>
      <w:r>
        <w:t xml:space="preserve"> Ag</w:t>
      </w:r>
      <w:r w:rsidR="006D504F">
        <w:t>riculture</w:t>
      </w:r>
      <w:r>
        <w:t xml:space="preserve"> W</w:t>
      </w:r>
      <w:r w:rsidR="006D504F">
        <w:t xml:space="preserve">ater </w:t>
      </w:r>
      <w:r>
        <w:t>Q</w:t>
      </w:r>
      <w:r w:rsidR="006D504F">
        <w:t>uality</w:t>
      </w:r>
      <w:r>
        <w:t xml:space="preserve"> Certification program in SE MN karst</w:t>
      </w:r>
      <w:r w:rsidR="006D504F">
        <w:t xml:space="preserve"> region</w:t>
      </w:r>
      <w:r>
        <w:t>, MDA’s Nitrogen Fertilizer Management Plan)</w:t>
      </w:r>
    </w:p>
    <w:p w14:paraId="3F208D2D" w14:textId="77777777" w:rsidR="00F17DA7" w:rsidRDefault="00F17DA7" w:rsidP="00C1637A">
      <w:pPr>
        <w:pStyle w:val="ListParagraph"/>
        <w:numPr>
          <w:ilvl w:val="0"/>
          <w:numId w:val="9"/>
        </w:numPr>
        <w:spacing w:line="276" w:lineRule="auto"/>
      </w:pPr>
      <w:r>
        <w:t>Work at multiple levels in the education system, coordinate messaging and communicate with those that impact nitrate levels.</w:t>
      </w:r>
    </w:p>
    <w:p w14:paraId="7C4FE9A6" w14:textId="025F6C1B" w:rsidR="002E5D27" w:rsidRDefault="002E5D27" w:rsidP="002E5D27">
      <w:pPr>
        <w:spacing w:line="276" w:lineRule="auto"/>
      </w:pPr>
      <w:r>
        <w:t>More broadly, the Task Force also recommends:</w:t>
      </w:r>
    </w:p>
    <w:p w14:paraId="5ED4D36F" w14:textId="77777777" w:rsidR="00F17DA7" w:rsidRDefault="00F17DA7" w:rsidP="00C1637A">
      <w:pPr>
        <w:pStyle w:val="ListParagraph"/>
        <w:spacing w:line="276" w:lineRule="auto"/>
        <w:ind w:left="1080"/>
      </w:pPr>
    </w:p>
    <w:p w14:paraId="2DAF1679" w14:textId="77777777" w:rsidR="002E5D27" w:rsidRDefault="00F17DA7" w:rsidP="002E5D27">
      <w:pPr>
        <w:pStyle w:val="ListParagraph"/>
        <w:numPr>
          <w:ilvl w:val="0"/>
          <w:numId w:val="9"/>
        </w:numPr>
        <w:spacing w:line="276" w:lineRule="auto"/>
      </w:pPr>
      <w:r w:rsidRPr="00382C9C">
        <w:t>Build awareness of the critical need for ongoing funding, including Clean Water Fund renewal that must be completed by 2033, and continuation of the Environment and Natural Resource Trust Fund (ENRTF)</w:t>
      </w:r>
      <w:r w:rsidR="00792DD6" w:rsidRPr="00382C9C">
        <w:t>, funded through 2050.</w:t>
      </w:r>
    </w:p>
    <w:p w14:paraId="0201E53E" w14:textId="12ACD439" w:rsidR="002B029F" w:rsidRPr="002B029F" w:rsidRDefault="002B029F" w:rsidP="002B029F">
      <w:pPr>
        <w:pStyle w:val="NoSpacing"/>
        <w:numPr>
          <w:ilvl w:val="0"/>
          <w:numId w:val="9"/>
        </w:numPr>
        <w:rPr>
          <w:color w:val="EE0000"/>
        </w:rPr>
      </w:pPr>
      <w:r w:rsidRPr="002B029F">
        <w:rPr>
          <w:color w:val="EE0000"/>
        </w:rPr>
        <w:t>Need system of protection for private well owners (like DWSMA)</w:t>
      </w:r>
    </w:p>
    <w:p w14:paraId="1A705844" w14:textId="77777777" w:rsidR="002E5D27" w:rsidRDefault="002E5D27" w:rsidP="008824AB">
      <w:pPr>
        <w:pStyle w:val="ListParagraph"/>
        <w:spacing w:line="276" w:lineRule="auto"/>
        <w:ind w:left="1080"/>
      </w:pPr>
    </w:p>
    <w:p w14:paraId="37A8610C" w14:textId="41E369C3" w:rsidR="008824AB" w:rsidRDefault="00F17DA7" w:rsidP="008824AB">
      <w:pPr>
        <w:pStyle w:val="ListParagraph"/>
        <w:numPr>
          <w:ilvl w:val="0"/>
          <w:numId w:val="9"/>
        </w:numPr>
        <w:spacing w:line="276" w:lineRule="auto"/>
      </w:pPr>
      <w:r>
        <w:t xml:space="preserve">Private well mitigation: Permanent fund </w:t>
      </w:r>
      <w:commentRangeStart w:id="51"/>
      <w:r>
        <w:t>source</w:t>
      </w:r>
      <w:commentRangeEnd w:id="51"/>
      <w:r w:rsidR="002B029F">
        <w:rPr>
          <w:rStyle w:val="CommentReference"/>
          <w:sz w:val="24"/>
          <w:szCs w:val="24"/>
        </w:rPr>
        <w:commentReference w:id="51"/>
      </w:r>
      <w:r>
        <w:t xml:space="preserve"> for private well mitigation that covers top 5 contaminants that MDH recommends private well users test for – nitrate, coliform bacteria, lead, arsenic, manganese (fee structure, see Grants to Counties program in Iowa, or legislative appropriation)</w:t>
      </w:r>
    </w:p>
    <w:p w14:paraId="519FD376" w14:textId="77777777" w:rsidR="008824AB" w:rsidRDefault="008824AB" w:rsidP="008824AB">
      <w:pPr>
        <w:pStyle w:val="ListParagraph"/>
      </w:pPr>
    </w:p>
    <w:p w14:paraId="4C9CB5A3" w14:textId="499A1870" w:rsidR="00F17DA7" w:rsidRDefault="00F17DA7" w:rsidP="008824AB">
      <w:pPr>
        <w:pStyle w:val="ListParagraph"/>
        <w:numPr>
          <w:ilvl w:val="0"/>
          <w:numId w:val="9"/>
        </w:numPr>
        <w:spacing w:line="276" w:lineRule="auto"/>
      </w:pPr>
      <w:r w:rsidRPr="00382C9C">
        <w:t>Long-term nitrate source reduction: Strengthen administrative rules for the land application of animal manure (Minn. R. Ch. 7020) and commercial fertilizer (Minn. R. Ch. 1573) in Vulnerable Groundwater Areas statewide.</w:t>
      </w:r>
      <w:r>
        <w:t xml:space="preserve"> </w:t>
      </w:r>
      <w:commentRangeStart w:id="52"/>
      <w:r>
        <w:t>At</w:t>
      </w:r>
      <w:commentRangeEnd w:id="52"/>
      <w:r w:rsidR="008F0C9F">
        <w:rPr>
          <w:rStyle w:val="CommentReference"/>
          <w:sz w:val="24"/>
          <w:szCs w:val="24"/>
        </w:rPr>
        <w:commentReference w:id="52"/>
      </w:r>
      <w:r>
        <w:t xml:space="preserve"> a minimum, add requirements to the Groundwater Protection Rule to require nutrient management plans/records, sensitive feature setbacks, and fertilizer application not to exceed </w:t>
      </w:r>
      <w:commentRangeStart w:id="53"/>
      <w:commentRangeStart w:id="54"/>
      <w:r>
        <w:t>MRTN</w:t>
      </w:r>
      <w:commentRangeEnd w:id="54"/>
      <w:r w:rsidR="007E57C5">
        <w:rPr>
          <w:rStyle w:val="CommentReference"/>
          <w:sz w:val="24"/>
          <w:szCs w:val="24"/>
        </w:rPr>
        <w:commentReference w:id="54"/>
      </w:r>
      <w:commentRangeEnd w:id="53"/>
      <w:r w:rsidR="00B07864">
        <w:rPr>
          <w:rStyle w:val="CommentReference"/>
          <w:sz w:val="24"/>
          <w:szCs w:val="24"/>
        </w:rPr>
        <w:commentReference w:id="53"/>
      </w:r>
      <w:r>
        <w:t>.</w:t>
      </w:r>
    </w:p>
    <w:p w14:paraId="3446EE3B" w14:textId="77777777" w:rsidR="00D43F0B" w:rsidRDefault="00D43F0B" w:rsidP="00C1637A">
      <w:pPr>
        <w:pStyle w:val="ListParagraph"/>
        <w:spacing w:line="276" w:lineRule="auto"/>
      </w:pPr>
    </w:p>
    <w:p w14:paraId="5B610698" w14:textId="77777777" w:rsidR="00D43F0B" w:rsidRDefault="00D43F0B" w:rsidP="00C1637A">
      <w:pPr>
        <w:spacing w:line="276" w:lineRule="auto"/>
      </w:pPr>
    </w:p>
    <w:p w14:paraId="1E345461" w14:textId="77777777" w:rsidR="008F67CB" w:rsidRDefault="008F67CB" w:rsidP="00C1637A">
      <w:pPr>
        <w:spacing w:line="276" w:lineRule="auto"/>
      </w:pPr>
    </w:p>
    <w:p w14:paraId="07FD10E4" w14:textId="77777777" w:rsidR="008F67CB" w:rsidRDefault="008F67CB" w:rsidP="00C1637A">
      <w:pPr>
        <w:spacing w:line="276" w:lineRule="auto"/>
      </w:pPr>
    </w:p>
    <w:p w14:paraId="04391F62" w14:textId="77777777" w:rsidR="008F67CB" w:rsidRDefault="008F67CB" w:rsidP="00C1637A">
      <w:pPr>
        <w:spacing w:line="276" w:lineRule="auto"/>
      </w:pPr>
    </w:p>
    <w:p w14:paraId="1CCC8B1B" w14:textId="36299176" w:rsidR="00D43F0B" w:rsidRPr="00715210" w:rsidRDefault="00D43F0B" w:rsidP="00C1637A">
      <w:pPr>
        <w:pStyle w:val="IntenseQuote"/>
        <w:spacing w:line="276" w:lineRule="auto"/>
      </w:pPr>
      <w:r w:rsidRPr="00715210">
        <w:lastRenderedPageBreak/>
        <w:t>Wetlands</w:t>
      </w:r>
    </w:p>
    <w:p w14:paraId="7BB98342" w14:textId="03B64A57" w:rsidR="00C0126D" w:rsidRDefault="00C0126D" w:rsidP="00C1637A">
      <w:pPr>
        <w:pStyle w:val="NoSpacing"/>
        <w:spacing w:line="276" w:lineRule="auto"/>
        <w:rPr>
          <w:rFonts w:cs="Tahoma"/>
          <w:color w:val="000000"/>
          <w:shd w:val="clear" w:color="auto" w:fill="FFFFFF"/>
        </w:rPr>
      </w:pPr>
      <w:r>
        <w:t>Healthy, functioning w</w:t>
      </w:r>
      <w:r w:rsidRPr="00034B5F">
        <w:t>etlands support a wide range of public benefits, but those benefits are not always fully reflected in how wetlands are perceived</w:t>
      </w:r>
      <w:r>
        <w:t xml:space="preserve"> by the general public</w:t>
      </w:r>
      <w:r w:rsidRPr="00034B5F">
        <w:t>.</w:t>
      </w:r>
      <w:r w:rsidRPr="006A1F45">
        <w:rPr>
          <w:rFonts w:cs="Tahoma"/>
          <w:color w:val="000000"/>
          <w:shd w:val="clear" w:color="auto" w:fill="FFFFFF"/>
        </w:rPr>
        <w:t xml:space="preserve"> </w:t>
      </w:r>
      <w:r>
        <w:rPr>
          <w:rFonts w:cs="Tahoma"/>
          <w:color w:val="000000"/>
          <w:shd w:val="clear" w:color="auto" w:fill="FFFFFF"/>
        </w:rPr>
        <w:t xml:space="preserve">They </w:t>
      </w:r>
      <w:r w:rsidRPr="000D3D01">
        <w:rPr>
          <w:rFonts w:cs="Tahoma"/>
          <w:color w:val="000000"/>
          <w:shd w:val="clear" w:color="auto" w:fill="FFFFFF"/>
        </w:rPr>
        <w:t xml:space="preserve">provide critical habitat for waterfowl, </w:t>
      </w:r>
      <w:r>
        <w:rPr>
          <w:rFonts w:cs="Tahoma"/>
          <w:color w:val="000000"/>
          <w:shd w:val="clear" w:color="auto" w:fill="FFFFFF"/>
        </w:rPr>
        <w:t xml:space="preserve">wildlife and fish and </w:t>
      </w:r>
      <w:r w:rsidRPr="000D3D01">
        <w:rPr>
          <w:rFonts w:cs="Tahoma"/>
          <w:color w:val="000000"/>
          <w:shd w:val="clear" w:color="auto" w:fill="FFFFFF"/>
        </w:rPr>
        <w:t>they filter out pollutants</w:t>
      </w:r>
      <w:r>
        <w:rPr>
          <w:rFonts w:cs="Tahoma"/>
          <w:color w:val="000000"/>
          <w:shd w:val="clear" w:color="auto" w:fill="FFFFFF"/>
        </w:rPr>
        <w:t>, transform nutrients and retain sediments</w:t>
      </w:r>
      <w:r w:rsidRPr="000D3D01">
        <w:rPr>
          <w:rFonts w:cs="Tahoma"/>
          <w:color w:val="000000"/>
          <w:shd w:val="clear" w:color="auto" w:fill="FFFFFF"/>
        </w:rPr>
        <w:t xml:space="preserve">, </w:t>
      </w:r>
      <w:r>
        <w:rPr>
          <w:rFonts w:cs="Tahoma"/>
          <w:color w:val="000000"/>
          <w:shd w:val="clear" w:color="auto" w:fill="FFFFFF"/>
        </w:rPr>
        <w:t xml:space="preserve">all of </w:t>
      </w:r>
      <w:r w:rsidRPr="000D3D01">
        <w:rPr>
          <w:rFonts w:cs="Tahoma"/>
          <w:color w:val="000000"/>
          <w:shd w:val="clear" w:color="auto" w:fill="FFFFFF"/>
        </w:rPr>
        <w:t xml:space="preserve">which improve </w:t>
      </w:r>
      <w:r>
        <w:rPr>
          <w:rFonts w:cs="Tahoma"/>
          <w:color w:val="000000"/>
          <w:shd w:val="clear" w:color="auto" w:fill="FFFFFF"/>
        </w:rPr>
        <w:t xml:space="preserve">or protect </w:t>
      </w:r>
      <w:r w:rsidRPr="000D3D01">
        <w:rPr>
          <w:rFonts w:cs="Tahoma"/>
          <w:color w:val="000000"/>
          <w:shd w:val="clear" w:color="auto" w:fill="FFFFFF"/>
        </w:rPr>
        <w:t xml:space="preserve">water quality for surrounding </w:t>
      </w:r>
      <w:r>
        <w:rPr>
          <w:rFonts w:cs="Tahoma"/>
          <w:color w:val="000000"/>
          <w:shd w:val="clear" w:color="auto" w:fill="FFFFFF"/>
        </w:rPr>
        <w:t>and downstream waters.</w:t>
      </w:r>
      <w:r w:rsidRPr="000D3D01">
        <w:rPr>
          <w:rFonts w:cs="Tahoma"/>
          <w:color w:val="000000"/>
          <w:shd w:val="clear" w:color="auto" w:fill="FFFFFF"/>
        </w:rPr>
        <w:t xml:space="preserve"> </w:t>
      </w:r>
      <w:r>
        <w:rPr>
          <w:rFonts w:cs="Tahoma"/>
          <w:color w:val="000000"/>
          <w:shd w:val="clear" w:color="auto" w:fill="FFFFFF"/>
        </w:rPr>
        <w:t>They</w:t>
      </w:r>
      <w:r w:rsidRPr="000D3D01">
        <w:rPr>
          <w:rFonts w:cs="Tahoma"/>
          <w:color w:val="000000"/>
          <w:shd w:val="clear" w:color="auto" w:fill="FFFFFF"/>
        </w:rPr>
        <w:t xml:space="preserve"> also perform other</w:t>
      </w:r>
      <w:r>
        <w:rPr>
          <w:rFonts w:cs="Tahoma"/>
          <w:color w:val="000000"/>
          <w:shd w:val="clear" w:color="auto" w:fill="FFFFFF"/>
        </w:rPr>
        <w:t xml:space="preserve"> critical</w:t>
      </w:r>
      <w:r w:rsidRPr="000D3D01">
        <w:rPr>
          <w:rFonts w:cs="Tahoma"/>
          <w:color w:val="000000"/>
          <w:shd w:val="clear" w:color="auto" w:fill="FFFFFF"/>
        </w:rPr>
        <w:t xml:space="preserve"> </w:t>
      </w:r>
      <w:r w:rsidR="002C4B1D">
        <w:rPr>
          <w:rFonts w:cs="Tahoma"/>
          <w:color w:val="000000"/>
          <w:shd w:val="clear" w:color="auto" w:fill="FFFFFF"/>
        </w:rPr>
        <w:t xml:space="preserve">hydrologic </w:t>
      </w:r>
      <w:r w:rsidRPr="000D3D01">
        <w:rPr>
          <w:rFonts w:cs="Tahoma"/>
          <w:color w:val="000000"/>
          <w:shd w:val="clear" w:color="auto" w:fill="FFFFFF"/>
        </w:rPr>
        <w:t>functions</w:t>
      </w:r>
      <w:r>
        <w:rPr>
          <w:rFonts w:cs="Tahoma"/>
          <w:color w:val="000000"/>
          <w:shd w:val="clear" w:color="auto" w:fill="FFFFFF"/>
        </w:rPr>
        <w:t xml:space="preserve"> that benefit people</w:t>
      </w:r>
      <w:r w:rsidRPr="000D3D01">
        <w:rPr>
          <w:rFonts w:cs="Tahoma"/>
          <w:color w:val="000000"/>
          <w:shd w:val="clear" w:color="auto" w:fill="FFFFFF"/>
        </w:rPr>
        <w:t xml:space="preserve"> such as flood attenuation, water storage,</w:t>
      </w:r>
      <w:r>
        <w:rPr>
          <w:rFonts w:cs="Tahoma"/>
          <w:color w:val="000000"/>
          <w:shd w:val="clear" w:color="auto" w:fill="FFFFFF"/>
        </w:rPr>
        <w:t xml:space="preserve"> and groundwater recharge.</w:t>
      </w:r>
    </w:p>
    <w:p w14:paraId="16ED72DD" w14:textId="77777777" w:rsidR="00C0126D" w:rsidRPr="006A1F45" w:rsidRDefault="00C0126D" w:rsidP="00C1637A">
      <w:pPr>
        <w:pStyle w:val="NoSpacing"/>
        <w:spacing w:line="276" w:lineRule="auto"/>
        <w:rPr>
          <w:rFonts w:cs="Tahoma"/>
          <w:color w:val="000000"/>
          <w:shd w:val="clear" w:color="auto" w:fill="FFFFFF"/>
        </w:rPr>
      </w:pPr>
    </w:p>
    <w:p w14:paraId="32391F69" w14:textId="77777777" w:rsidR="00DC3F4C" w:rsidRDefault="00C0126D" w:rsidP="00C1637A">
      <w:pPr>
        <w:shd w:val="clear" w:color="auto" w:fill="FFFFFF"/>
        <w:spacing w:after="0" w:line="276" w:lineRule="auto"/>
      </w:pPr>
      <w:r w:rsidRPr="00034B5F">
        <w:t>Wetlands play a cr</w:t>
      </w:r>
      <w:r>
        <w:t>ucial</w:t>
      </w:r>
      <w:r w:rsidRPr="00034B5F">
        <w:t xml:space="preserve"> role in moderating </w:t>
      </w:r>
      <w:r>
        <w:t>climate change</w:t>
      </w:r>
      <w:r w:rsidRPr="00034B5F">
        <w:t xml:space="preserve"> impacts by storing and slowly releasing water across the landscape</w:t>
      </w:r>
      <w:r>
        <w:t>, and by sequestering massive amounts of carbon, especially our vast areas of peatlands</w:t>
      </w:r>
      <w:r w:rsidRPr="00034B5F">
        <w:t>.</w:t>
      </w:r>
      <w:r>
        <w:t xml:space="preserve"> In light of </w:t>
      </w:r>
      <w:r w:rsidR="003E4C40">
        <w:t>significant rollbacks in federal protections for wetlands under the Clean Water Act, the Task Force strongly recommends the state</w:t>
      </w:r>
      <w:r w:rsidR="00DC3F4C">
        <w:t>:</w:t>
      </w:r>
      <w:r w:rsidR="003E4C40">
        <w:t xml:space="preserve"> </w:t>
      </w:r>
    </w:p>
    <w:p w14:paraId="0F9BAE72" w14:textId="2D70D86B" w:rsidR="001F783F" w:rsidRPr="001F783F" w:rsidRDefault="00476AFF" w:rsidP="00C1637A">
      <w:pPr>
        <w:pStyle w:val="ListParagraph"/>
        <w:numPr>
          <w:ilvl w:val="0"/>
          <w:numId w:val="33"/>
        </w:numPr>
        <w:shd w:val="clear" w:color="auto" w:fill="FFFFFF"/>
        <w:spacing w:after="0" w:line="276" w:lineRule="auto"/>
        <w:rPr>
          <w:color w:val="222222"/>
        </w:rPr>
      </w:pPr>
      <w:r w:rsidRPr="001F783F">
        <w:t xml:space="preserve">affirm its commitment </w:t>
      </w:r>
      <w:r w:rsidR="009D3CDF">
        <w:t xml:space="preserve">to </w:t>
      </w:r>
      <w:r w:rsidR="001F783F">
        <w:t>robust implementation of</w:t>
      </w:r>
      <w:r w:rsidRPr="001F783F">
        <w:t xml:space="preserve"> current state wetland protections under the Wetland Conservation Act </w:t>
      </w:r>
    </w:p>
    <w:p w14:paraId="624D8E89" w14:textId="0D6768AC" w:rsidR="00476AFF" w:rsidRDefault="00476AFF" w:rsidP="00C1637A">
      <w:pPr>
        <w:pStyle w:val="ListParagraph"/>
        <w:numPr>
          <w:ilvl w:val="0"/>
          <w:numId w:val="33"/>
        </w:numPr>
        <w:shd w:val="clear" w:color="auto" w:fill="FFFFFF"/>
        <w:spacing w:after="0" w:line="276" w:lineRule="auto"/>
        <w:rPr>
          <w:color w:val="222222"/>
        </w:rPr>
      </w:pPr>
      <w:r w:rsidRPr="001F783F">
        <w:rPr>
          <w:color w:val="222222"/>
        </w:rPr>
        <w:t xml:space="preserve">continue </w:t>
      </w:r>
      <w:r w:rsidR="00DC3F4C" w:rsidRPr="001F783F">
        <w:rPr>
          <w:color w:val="222222"/>
        </w:rPr>
        <w:t>implementing</w:t>
      </w:r>
      <w:r w:rsidRPr="001F783F">
        <w:rPr>
          <w:color w:val="222222"/>
        </w:rPr>
        <w:t xml:space="preserve"> programs that restore wetlands such as Minnesota Conservation Reserve Enhancement Program (CREP) and the Reinvest in Minnesota (RIM) programs, which rely on landowners to apply to participate in the program, </w:t>
      </w:r>
      <w:r w:rsidR="00EB54C8">
        <w:rPr>
          <w:color w:val="222222"/>
        </w:rPr>
        <w:t xml:space="preserve">both of which </w:t>
      </w:r>
      <w:r w:rsidRPr="001F783F">
        <w:rPr>
          <w:color w:val="222222"/>
        </w:rPr>
        <w:t>strategically place</w:t>
      </w:r>
      <w:r w:rsidR="00060D0A">
        <w:rPr>
          <w:color w:val="222222"/>
        </w:rPr>
        <w:t xml:space="preserve"> or protect water</w:t>
      </w:r>
      <w:r w:rsidRPr="001F783F">
        <w:rPr>
          <w:color w:val="222222"/>
        </w:rPr>
        <w:t xml:space="preserve"> storage on the </w:t>
      </w:r>
      <w:r w:rsidR="00AE56F4" w:rsidRPr="001F783F">
        <w:rPr>
          <w:color w:val="222222"/>
        </w:rPr>
        <w:t>landscape.</w:t>
      </w:r>
    </w:p>
    <w:p w14:paraId="3098E844" w14:textId="03D36F6C" w:rsidR="00370BFF" w:rsidRPr="001F783F" w:rsidRDefault="006D6DC7" w:rsidP="00C1637A">
      <w:pPr>
        <w:pStyle w:val="ListParagraph"/>
        <w:numPr>
          <w:ilvl w:val="0"/>
          <w:numId w:val="33"/>
        </w:numPr>
        <w:shd w:val="clear" w:color="auto" w:fill="FFFFFF"/>
        <w:spacing w:after="0" w:line="276" w:lineRule="auto"/>
        <w:rPr>
          <w:color w:val="222222"/>
        </w:rPr>
      </w:pPr>
      <w:r>
        <w:rPr>
          <w:color w:val="222222"/>
        </w:rPr>
        <w:t>focus additional resources to protect and restore natural hydrology in Minnesota’s peatlands</w:t>
      </w:r>
      <w:r w:rsidR="00CD601B">
        <w:rPr>
          <w:color w:val="222222"/>
        </w:rPr>
        <w:t xml:space="preserve">, </w:t>
      </w:r>
      <w:r w:rsidR="00AC464C">
        <w:rPr>
          <w:color w:val="222222"/>
        </w:rPr>
        <w:t>recognizing</w:t>
      </w:r>
      <w:r w:rsidR="00CD601B">
        <w:rPr>
          <w:color w:val="222222"/>
        </w:rPr>
        <w:t xml:space="preserve"> their unique values and functions </w:t>
      </w:r>
      <w:r w:rsidR="00AC464C">
        <w:rPr>
          <w:color w:val="222222"/>
        </w:rPr>
        <w:t xml:space="preserve">associated with </w:t>
      </w:r>
      <w:r w:rsidR="00615574">
        <w:rPr>
          <w:color w:val="222222"/>
        </w:rPr>
        <w:t xml:space="preserve">preserving </w:t>
      </w:r>
      <w:r w:rsidR="00AC464C">
        <w:rPr>
          <w:color w:val="222222"/>
        </w:rPr>
        <w:t>climate resilience</w:t>
      </w:r>
      <w:r w:rsidR="00B11FCA">
        <w:rPr>
          <w:color w:val="222222"/>
        </w:rPr>
        <w:t xml:space="preserve">, </w:t>
      </w:r>
      <w:r w:rsidR="00AC464C">
        <w:rPr>
          <w:color w:val="222222"/>
        </w:rPr>
        <w:t>and</w:t>
      </w:r>
      <w:r w:rsidR="00B11FCA">
        <w:rPr>
          <w:color w:val="222222"/>
        </w:rPr>
        <w:t xml:space="preserve"> their role in</w:t>
      </w:r>
      <w:r w:rsidR="00AC464C">
        <w:rPr>
          <w:color w:val="222222"/>
        </w:rPr>
        <w:t xml:space="preserve"> mercury methylation and bioaccumulation</w:t>
      </w:r>
      <w:r w:rsidR="005F6F10">
        <w:rPr>
          <w:color w:val="222222"/>
        </w:rPr>
        <w:t xml:space="preserve"> in the most impacted region of the state.</w:t>
      </w:r>
    </w:p>
    <w:p w14:paraId="79E4CEDC" w14:textId="546219C6" w:rsidR="00C0126D" w:rsidRPr="00C0126D" w:rsidRDefault="00C0126D" w:rsidP="00C1637A">
      <w:pPr>
        <w:spacing w:line="276" w:lineRule="auto"/>
      </w:pPr>
    </w:p>
    <w:p w14:paraId="718E1308" w14:textId="2D627774" w:rsidR="00BA3CDC" w:rsidRDefault="00060D0A" w:rsidP="00C1637A">
      <w:pPr>
        <w:pStyle w:val="NoSpacing"/>
        <w:spacing w:line="276" w:lineRule="auto"/>
      </w:pPr>
      <w:r>
        <w:t xml:space="preserve">The Task Force also </w:t>
      </w:r>
      <w:r w:rsidR="00421F7D">
        <w:t>endorses the Minnesota</w:t>
      </w:r>
      <w:r w:rsidR="00BA3CDC">
        <w:t xml:space="preserve"> Water Sustainability Framework Section E recommendation</w:t>
      </w:r>
      <w:r w:rsidR="00BC481D">
        <w:t>s</w:t>
      </w:r>
      <w:r w:rsidR="00BA3CDC">
        <w:t xml:space="preserve">: </w:t>
      </w:r>
    </w:p>
    <w:p w14:paraId="076AF5C0" w14:textId="77777777" w:rsidR="00BC481D" w:rsidRDefault="00130226" w:rsidP="00BC481D">
      <w:pPr>
        <w:pStyle w:val="ListParagraph"/>
        <w:numPr>
          <w:ilvl w:val="0"/>
          <w:numId w:val="13"/>
        </w:numPr>
        <w:spacing w:line="276" w:lineRule="auto"/>
      </w:pPr>
      <w:r>
        <w:t xml:space="preserve">Enact an Ecosystem Integrity Act that includes strong rules for ecosystem protection, invasive species prevention, penalties for violations, and funding for enforcement, and requires the economic value of diminished ecosystem services to be considered in all policy and regulatory deliberations, including environmental review, cost-benefit analyses, and all rulemaking affecting our </w:t>
      </w:r>
      <w:commentRangeStart w:id="55"/>
      <w:commentRangeStart w:id="56"/>
      <w:r>
        <w:t>environment</w:t>
      </w:r>
      <w:commentRangeEnd w:id="55"/>
      <w:r w:rsidR="006D5EEE">
        <w:rPr>
          <w:rStyle w:val="CommentReference"/>
          <w:sz w:val="24"/>
          <w:szCs w:val="24"/>
        </w:rPr>
        <w:commentReference w:id="55"/>
      </w:r>
      <w:commentRangeEnd w:id="56"/>
      <w:r w:rsidR="005F3460">
        <w:rPr>
          <w:rStyle w:val="CommentReference"/>
          <w:sz w:val="24"/>
          <w:szCs w:val="24"/>
        </w:rPr>
        <w:commentReference w:id="56"/>
      </w:r>
      <w:r>
        <w:t xml:space="preserve">. </w:t>
      </w:r>
    </w:p>
    <w:p w14:paraId="2F1BE098" w14:textId="221AE0FF" w:rsidR="00FB66FE" w:rsidRPr="00BC481D" w:rsidRDefault="00494F1B" w:rsidP="00BC481D">
      <w:pPr>
        <w:pStyle w:val="ListParagraph"/>
        <w:numPr>
          <w:ilvl w:val="0"/>
          <w:numId w:val="13"/>
        </w:numPr>
        <w:spacing w:line="276" w:lineRule="auto"/>
      </w:pPr>
      <w:r w:rsidRPr="00494F1B">
        <w:t xml:space="preserve">Fund research to identify a suite of ecosystem services to be included as indicators of ecosystem integrity (large watershed scale), and to determine their value in economic terms. This will provide necessary information </w:t>
      </w:r>
      <w:r w:rsidR="008013AE" w:rsidRPr="00494F1B">
        <w:t>for</w:t>
      </w:r>
      <w:r w:rsidRPr="00494F1B">
        <w:t xml:space="preserve"> the Ecosystem Integrity Act.</w:t>
      </w:r>
      <w:r>
        <w:t xml:space="preserve"> </w:t>
      </w:r>
      <w:r w:rsidR="00FB66FE" w:rsidRPr="00BC481D">
        <w:rPr>
          <w:highlight w:val="yellow"/>
        </w:rPr>
        <w:br w:type="page"/>
      </w:r>
    </w:p>
    <w:p w14:paraId="17F2A669" w14:textId="77777777" w:rsidR="00E6409A" w:rsidRPr="00715210" w:rsidRDefault="00E6409A" w:rsidP="00C1637A">
      <w:pPr>
        <w:pStyle w:val="IntenseQuote"/>
        <w:spacing w:line="276" w:lineRule="auto"/>
      </w:pPr>
      <w:r w:rsidRPr="00715210">
        <w:lastRenderedPageBreak/>
        <w:t>Resource Extraction/Transport/Industries</w:t>
      </w:r>
    </w:p>
    <w:p w14:paraId="2471FD7D" w14:textId="4D0994BD" w:rsidR="00B2037D" w:rsidRDefault="00B2037D" w:rsidP="00C1637A">
      <w:pPr>
        <w:pStyle w:val="NoSpacing"/>
        <w:spacing w:line="276" w:lineRule="auto"/>
        <w:rPr>
          <w:b/>
          <w:bCs/>
        </w:rPr>
      </w:pPr>
      <w:r w:rsidRPr="00B2037D">
        <w:rPr>
          <w:b/>
          <w:bCs/>
        </w:rPr>
        <w:t>Forestry</w:t>
      </w:r>
    </w:p>
    <w:p w14:paraId="1DDD2665" w14:textId="77777777" w:rsidR="00A101B7" w:rsidRDefault="00A101B7" w:rsidP="00C1637A">
      <w:pPr>
        <w:pStyle w:val="NoSpacing"/>
        <w:spacing w:line="276" w:lineRule="auto"/>
        <w:rPr>
          <w:b/>
          <w:bCs/>
        </w:rPr>
      </w:pPr>
    </w:p>
    <w:p w14:paraId="3433F5FC" w14:textId="4816C06A" w:rsidR="00B2037D" w:rsidRPr="00B2037D" w:rsidRDefault="00382A61" w:rsidP="00382A61">
      <w:pPr>
        <w:spacing w:line="276" w:lineRule="auto"/>
      </w:pPr>
      <w:r>
        <w:t xml:space="preserve">The Task Force recommends that the </w:t>
      </w:r>
      <w:r w:rsidR="00A101B7">
        <w:t>MN DNR expand s</w:t>
      </w:r>
      <w:r w:rsidR="000172AA">
        <w:t>upport</w:t>
      </w:r>
      <w:r w:rsidR="00A101B7">
        <w:t xml:space="preserve"> for and </w:t>
      </w:r>
      <w:r w:rsidR="002E602C">
        <w:t>incentivize</w:t>
      </w:r>
      <w:r w:rsidR="000172AA">
        <w:t xml:space="preserve"> sustainable forestry practices on private lands</w:t>
      </w:r>
      <w:r w:rsidR="00A101B7">
        <w:t>.</w:t>
      </w:r>
    </w:p>
    <w:p w14:paraId="14635645" w14:textId="4B1AA825" w:rsidR="00B2037D" w:rsidRDefault="00B2037D" w:rsidP="00C1637A">
      <w:pPr>
        <w:pStyle w:val="NoSpacing"/>
        <w:spacing w:line="276" w:lineRule="auto"/>
        <w:rPr>
          <w:b/>
          <w:bCs/>
        </w:rPr>
      </w:pPr>
      <w:r w:rsidRPr="000172AA">
        <w:rPr>
          <w:b/>
          <w:bCs/>
        </w:rPr>
        <w:t>Mining</w:t>
      </w:r>
      <w:r w:rsidR="000172AA" w:rsidRPr="000172AA">
        <w:rPr>
          <w:b/>
          <w:bCs/>
        </w:rPr>
        <w:t xml:space="preserve"> </w:t>
      </w:r>
    </w:p>
    <w:p w14:paraId="0EAF54E1" w14:textId="77777777" w:rsidR="0080651B" w:rsidRDefault="0080651B" w:rsidP="00C1637A">
      <w:pPr>
        <w:pStyle w:val="NoSpacing"/>
        <w:spacing w:line="276" w:lineRule="auto"/>
        <w:rPr>
          <w:b/>
          <w:bCs/>
        </w:rPr>
      </w:pPr>
    </w:p>
    <w:p w14:paraId="4508BB9B" w14:textId="13FB8FE8" w:rsidR="007918F4" w:rsidRDefault="0080651B" w:rsidP="00C1637A">
      <w:pPr>
        <w:pStyle w:val="NoSpacing"/>
        <w:spacing w:line="276" w:lineRule="auto"/>
      </w:pPr>
      <w:r>
        <w:t xml:space="preserve">The Task Force reiterates the general recommendation from the Minnesota Water Sustainability Framework requiring </w:t>
      </w:r>
      <w:r w:rsidR="001671A0">
        <w:t xml:space="preserve">full </w:t>
      </w:r>
      <w:r>
        <w:t xml:space="preserve">compliance with pollutant load reductions by all sectors, including hard rock </w:t>
      </w:r>
      <w:commentRangeStart w:id="57"/>
      <w:r>
        <w:t>mining</w:t>
      </w:r>
      <w:commentRangeEnd w:id="57"/>
      <w:r w:rsidR="0061001D">
        <w:rPr>
          <w:rStyle w:val="CommentReference"/>
          <w:sz w:val="24"/>
          <w:szCs w:val="24"/>
        </w:rPr>
        <w:commentReference w:id="57"/>
      </w:r>
      <w:r>
        <w:t xml:space="preserve">. </w:t>
      </w:r>
    </w:p>
    <w:p w14:paraId="7F8DBDC3" w14:textId="77777777" w:rsidR="007918F4" w:rsidRDefault="007918F4" w:rsidP="00C1637A">
      <w:pPr>
        <w:pStyle w:val="NoSpacing"/>
        <w:spacing w:line="276" w:lineRule="auto"/>
      </w:pPr>
    </w:p>
    <w:p w14:paraId="24B14EE5" w14:textId="0566C3A9" w:rsidR="00B416C4" w:rsidRPr="0080651B" w:rsidRDefault="0080651B" w:rsidP="00C1637A">
      <w:pPr>
        <w:pStyle w:val="NoSpacing"/>
        <w:spacing w:line="276" w:lineRule="auto"/>
      </w:pPr>
      <w:r>
        <w:t>Additionally</w:t>
      </w:r>
      <w:r w:rsidR="001671A0">
        <w:t>, the Task Force recommends</w:t>
      </w:r>
      <w:r w:rsidR="00B416C4">
        <w:t>:</w:t>
      </w:r>
    </w:p>
    <w:p w14:paraId="6A60496F" w14:textId="77777777" w:rsidR="006204A8" w:rsidRDefault="006204A8" w:rsidP="00C1637A">
      <w:pPr>
        <w:pStyle w:val="NoSpacing"/>
        <w:spacing w:line="276" w:lineRule="auto"/>
        <w:rPr>
          <w:b/>
          <w:bCs/>
        </w:rPr>
      </w:pPr>
    </w:p>
    <w:p w14:paraId="283F9289" w14:textId="77777777" w:rsidR="000F5771" w:rsidRDefault="00B416C4" w:rsidP="000F5771">
      <w:pPr>
        <w:pStyle w:val="NoSpacing"/>
        <w:numPr>
          <w:ilvl w:val="0"/>
          <w:numId w:val="39"/>
        </w:numPr>
        <w:spacing w:line="276" w:lineRule="auto"/>
      </w:pPr>
      <w:r>
        <w:t xml:space="preserve">The </w:t>
      </w:r>
      <w:r w:rsidR="00CB4270">
        <w:t xml:space="preserve">Commissioner’s issuance of DNR Permit to Mine requires all other issued permits to contain limits and conditions that result in compliance with MN rules, including </w:t>
      </w:r>
      <w:commentRangeStart w:id="58"/>
      <w:commentRangeStart w:id="59"/>
      <w:r w:rsidR="00CB4270">
        <w:t>WQS</w:t>
      </w:r>
      <w:commentRangeEnd w:id="58"/>
      <w:r w:rsidR="00232391">
        <w:rPr>
          <w:rStyle w:val="CommentReference"/>
          <w:sz w:val="24"/>
          <w:szCs w:val="24"/>
        </w:rPr>
        <w:commentReference w:id="58"/>
      </w:r>
      <w:commentRangeEnd w:id="59"/>
      <w:r w:rsidR="005F26E3">
        <w:rPr>
          <w:rStyle w:val="CommentReference"/>
          <w:sz w:val="24"/>
          <w:szCs w:val="24"/>
        </w:rPr>
        <w:commentReference w:id="59"/>
      </w:r>
      <w:r w:rsidR="00CB4270">
        <w:t>.</w:t>
      </w:r>
    </w:p>
    <w:p w14:paraId="6F596D14" w14:textId="29BE890C" w:rsidR="004014E0" w:rsidRDefault="0046585B" w:rsidP="004014E0">
      <w:pPr>
        <w:pStyle w:val="NoSpacing"/>
        <w:numPr>
          <w:ilvl w:val="0"/>
          <w:numId w:val="39"/>
        </w:numPr>
        <w:spacing w:line="276" w:lineRule="auto"/>
      </w:pPr>
      <w:r>
        <w:t xml:space="preserve">State agencies need sufficient legal support </w:t>
      </w:r>
      <w:r w:rsidR="000F5771">
        <w:t xml:space="preserve">from the Attorney General’s </w:t>
      </w:r>
      <w:commentRangeStart w:id="60"/>
      <w:r w:rsidR="000F5771">
        <w:t>Office</w:t>
      </w:r>
      <w:commentRangeEnd w:id="60"/>
      <w:r w:rsidR="00AA448F">
        <w:rPr>
          <w:rStyle w:val="CommentReference"/>
          <w:sz w:val="24"/>
          <w:szCs w:val="24"/>
        </w:rPr>
        <w:commentReference w:id="60"/>
      </w:r>
      <w:r w:rsidR="000F5771">
        <w:t xml:space="preserve"> </w:t>
      </w:r>
      <w:r w:rsidR="00E93356">
        <w:t>to robustly defend against</w:t>
      </w:r>
      <w:r>
        <w:t xml:space="preserve"> industry litigation challenging </w:t>
      </w:r>
      <w:r w:rsidR="004014E0">
        <w:t xml:space="preserve">their </w:t>
      </w:r>
      <w:r>
        <w:t>environmental compliance</w:t>
      </w:r>
      <w:r w:rsidR="004014E0">
        <w:t xml:space="preserve"> and</w:t>
      </w:r>
      <w:r>
        <w:t xml:space="preserve"> regulatory authorities</w:t>
      </w:r>
      <w:r w:rsidR="004014E0">
        <w:t>.</w:t>
      </w:r>
      <w:r w:rsidR="00AA448F">
        <w:t xml:space="preserve"> </w:t>
      </w:r>
      <w:r w:rsidR="00AA448F" w:rsidRPr="00AA448F">
        <w:rPr>
          <w:color w:val="EE0000"/>
        </w:rPr>
        <w:t>Suggested edit:</w:t>
      </w:r>
      <w:r w:rsidR="00AA448F">
        <w:rPr>
          <w:color w:val="EE0000"/>
        </w:rPr>
        <w:t xml:space="preserve"> “…</w:t>
      </w:r>
      <w:r w:rsidR="00660FF8">
        <w:rPr>
          <w:color w:val="EE0000"/>
        </w:rPr>
        <w:t xml:space="preserve">robustly defend litigation </w:t>
      </w:r>
      <w:r w:rsidR="00862977">
        <w:rPr>
          <w:color w:val="EE0000"/>
        </w:rPr>
        <w:t>regarding</w:t>
      </w:r>
      <w:r w:rsidR="00660FF8">
        <w:rPr>
          <w:color w:val="EE0000"/>
        </w:rPr>
        <w:t xml:space="preserve"> their environmental compliance and regulatory decisions.”</w:t>
      </w:r>
    </w:p>
    <w:p w14:paraId="69B32217" w14:textId="77CF9322" w:rsidR="00AF63BF" w:rsidRDefault="004014E0" w:rsidP="00AF63BF">
      <w:pPr>
        <w:pStyle w:val="NoSpacing"/>
        <w:numPr>
          <w:ilvl w:val="0"/>
          <w:numId w:val="39"/>
        </w:numPr>
        <w:spacing w:line="276" w:lineRule="auto"/>
      </w:pPr>
      <w:r>
        <w:t>The</w:t>
      </w:r>
      <w:r w:rsidR="0046585B" w:rsidRPr="00CC7BAD">
        <w:t xml:space="preserve"> Legislature should refrain from </w:t>
      </w:r>
      <w:r w:rsidR="00805957">
        <w:t>promulgating</w:t>
      </w:r>
      <w:r w:rsidR="0046585B" w:rsidRPr="00CC7BAD">
        <w:t xml:space="preserve"> rules that undermine MPCA’s CWA obligations</w:t>
      </w:r>
      <w:r w:rsidR="006A140D">
        <w:t xml:space="preserve">. This places Minnesota’s </w:t>
      </w:r>
      <w:r w:rsidR="0053008D">
        <w:t xml:space="preserve">authority to administer CWA programs </w:t>
      </w:r>
      <w:r w:rsidR="00336CF8">
        <w:t>at risk.</w:t>
      </w:r>
    </w:p>
    <w:p w14:paraId="5EE6C940" w14:textId="0DC2EE14" w:rsidR="00E0638E" w:rsidRPr="00E0638E" w:rsidRDefault="00AF63BF" w:rsidP="00E0638E">
      <w:pPr>
        <w:pStyle w:val="NoSpacing"/>
        <w:numPr>
          <w:ilvl w:val="0"/>
          <w:numId w:val="39"/>
        </w:numPr>
        <w:spacing w:line="276" w:lineRule="auto"/>
      </w:pPr>
      <w:r>
        <w:t xml:space="preserve">The DNR should </w:t>
      </w:r>
      <w:r>
        <w:rPr>
          <w:rFonts w:eastAsia="Times New Roman" w:cs="Arial"/>
          <w:color w:val="000000"/>
          <w:kern w:val="0"/>
          <w14:ligatures w14:val="none"/>
        </w:rPr>
        <w:t>r</w:t>
      </w:r>
      <w:r w:rsidR="004D4A7D" w:rsidRPr="00AF63BF">
        <w:rPr>
          <w:rFonts w:eastAsia="Times New Roman" w:cs="Arial"/>
          <w:color w:val="000000"/>
          <w:kern w:val="0"/>
          <w14:ligatures w14:val="none"/>
        </w:rPr>
        <w:t xml:space="preserve">equire modern mining </w:t>
      </w:r>
      <w:r w:rsidR="00031526">
        <w:rPr>
          <w:rFonts w:eastAsia="Times New Roman" w:cs="Arial"/>
          <w:color w:val="EE0000"/>
          <w:kern w:val="0"/>
          <w14:ligatures w14:val="none"/>
        </w:rPr>
        <w:t>source control methods</w:t>
      </w:r>
      <w:r w:rsidRPr="00031526">
        <w:rPr>
          <w:rFonts w:eastAsia="Times New Roman" w:cs="Arial"/>
          <w:color w:val="EE0000"/>
          <w:kern w:val="0"/>
          <w14:ligatures w14:val="none"/>
        </w:rPr>
        <w:t xml:space="preserve"> </w:t>
      </w:r>
      <w:r>
        <w:rPr>
          <w:rFonts w:eastAsia="Times New Roman" w:cs="Arial"/>
          <w:color w:val="000000"/>
          <w:kern w:val="0"/>
          <w14:ligatures w14:val="none"/>
        </w:rPr>
        <w:t>for all existing and proposed hard rock mining projects</w:t>
      </w:r>
      <w:r w:rsidR="004D4A7D" w:rsidRPr="00AF63BF">
        <w:rPr>
          <w:rFonts w:eastAsia="Times New Roman" w:cs="Arial"/>
          <w:color w:val="000000"/>
          <w:kern w:val="0"/>
          <w14:ligatures w14:val="none"/>
        </w:rPr>
        <w:t xml:space="preserve"> (i.e., dry tailings management, </w:t>
      </w:r>
      <w:r w:rsidR="00F26869" w:rsidRPr="00AF63BF">
        <w:rPr>
          <w:rFonts w:eastAsia="Times New Roman" w:cs="Arial"/>
          <w:color w:val="000000"/>
          <w:kern w:val="0"/>
          <w14:ligatures w14:val="none"/>
        </w:rPr>
        <w:t xml:space="preserve">hazardous and carbon </w:t>
      </w:r>
      <w:r w:rsidR="004D4A7D" w:rsidRPr="00AF63BF">
        <w:rPr>
          <w:rFonts w:eastAsia="Times New Roman" w:cs="Arial"/>
          <w:color w:val="000000"/>
          <w:kern w:val="0"/>
          <w14:ligatures w14:val="none"/>
        </w:rPr>
        <w:t xml:space="preserve">emissions </w:t>
      </w:r>
      <w:commentRangeStart w:id="61"/>
      <w:r w:rsidR="004D4A7D" w:rsidRPr="00AF63BF">
        <w:rPr>
          <w:rFonts w:eastAsia="Times New Roman" w:cs="Arial"/>
          <w:color w:val="000000"/>
          <w:kern w:val="0"/>
          <w14:ligatures w14:val="none"/>
        </w:rPr>
        <w:t>controls</w:t>
      </w:r>
      <w:commentRangeEnd w:id="61"/>
      <w:r w:rsidR="00E742F1" w:rsidRPr="00AF63BF">
        <w:rPr>
          <w:rStyle w:val="CommentReference"/>
          <w:rFonts w:eastAsia="Times New Roman" w:cs="Arial"/>
          <w:color w:val="000000"/>
          <w:kern w:val="0"/>
          <w:sz w:val="24"/>
          <w:szCs w:val="24"/>
          <w14:ligatures w14:val="none"/>
        </w:rPr>
        <w:commentReference w:id="61"/>
      </w:r>
      <w:r w:rsidR="004D4A7D" w:rsidRPr="00AF63BF">
        <w:rPr>
          <w:rFonts w:eastAsia="Times New Roman" w:cs="Arial"/>
          <w:color w:val="000000"/>
          <w:kern w:val="0"/>
          <w14:ligatures w14:val="none"/>
        </w:rPr>
        <w:t>)</w:t>
      </w:r>
      <w:r w:rsidR="00C5458F" w:rsidRPr="00AF63BF">
        <w:rPr>
          <w:rFonts w:eastAsia="Times New Roman" w:cs="Arial"/>
          <w:color w:val="000000"/>
          <w:kern w:val="0"/>
          <w14:ligatures w14:val="none"/>
        </w:rPr>
        <w:t>.</w:t>
      </w:r>
      <w:r w:rsidR="00FA2F20" w:rsidRPr="00AF63BF">
        <w:rPr>
          <w:rFonts w:ascii="Calibri" w:eastAsia="Times New Roman" w:hAnsi="Calibri" w:cs="Calibri"/>
          <w:color w:val="000000" w:themeColor="text1"/>
          <w:shd w:val="clear" w:color="auto" w:fill="FFFFFF"/>
        </w:rPr>
        <w:t xml:space="preserve"> </w:t>
      </w:r>
      <w:r w:rsidR="004E4188" w:rsidRPr="00AF63BF">
        <w:rPr>
          <w:rFonts w:ascii="Calibri" w:eastAsia="Times New Roman" w:hAnsi="Calibri" w:cs="Calibri"/>
          <w:color w:val="000000" w:themeColor="text1"/>
          <w:shd w:val="clear" w:color="auto" w:fill="FFFFFF"/>
        </w:rPr>
        <w:t xml:space="preserve">Specifically, </w:t>
      </w:r>
      <w:r w:rsidR="005E16C1" w:rsidRPr="00AF63BF">
        <w:rPr>
          <w:rFonts w:eastAsia="Times New Roman" w:cs="Calibri"/>
          <w:color w:val="000000" w:themeColor="text1"/>
          <w:shd w:val="clear" w:color="auto" w:fill="FFFFFF"/>
        </w:rPr>
        <w:t>t</w:t>
      </w:r>
      <w:r w:rsidR="00FA2F20" w:rsidRPr="00AF63BF">
        <w:rPr>
          <w:rFonts w:eastAsia="Times New Roman" w:cs="Calibri"/>
          <w:color w:val="000000" w:themeColor="text1"/>
          <w:shd w:val="clear" w:color="auto" w:fill="FFFFFF"/>
        </w:rPr>
        <w:t xml:space="preserve">o predict, prevent, and manage </w:t>
      </w:r>
      <w:r w:rsidR="00BD6DAD">
        <w:rPr>
          <w:rFonts w:eastAsia="Times New Roman" w:cs="Calibri"/>
          <w:color w:val="EE0000"/>
          <w:shd w:val="clear" w:color="auto" w:fill="FFFFFF"/>
        </w:rPr>
        <w:t xml:space="preserve">acidic and metalliferous </w:t>
      </w:r>
      <w:r w:rsidR="00FA2F20" w:rsidRPr="00AF63BF">
        <w:rPr>
          <w:rFonts w:eastAsia="Times New Roman" w:cs="Calibri"/>
          <w:color w:val="000000" w:themeColor="text1"/>
          <w:shd w:val="clear" w:color="auto" w:fill="FFFFFF"/>
        </w:rPr>
        <w:t>mine drainage</w:t>
      </w:r>
      <w:r>
        <w:rPr>
          <w:rFonts w:eastAsia="Times New Roman" w:cs="Calibri"/>
          <w:color w:val="000000" w:themeColor="text1"/>
          <w:shd w:val="clear" w:color="auto" w:fill="FFFFFF"/>
        </w:rPr>
        <w:t xml:space="preserve"> from </w:t>
      </w:r>
      <w:r w:rsidR="00BD6DAD">
        <w:rPr>
          <w:rFonts w:eastAsia="Times New Roman" w:cs="Calibri"/>
          <w:color w:val="EE0000"/>
          <w:shd w:val="clear" w:color="auto" w:fill="FFFFFF"/>
        </w:rPr>
        <w:t>nonferrous</w:t>
      </w:r>
      <w:r>
        <w:rPr>
          <w:rFonts w:eastAsia="Times New Roman" w:cs="Calibri"/>
          <w:color w:val="000000" w:themeColor="text1"/>
          <w:shd w:val="clear" w:color="auto" w:fill="FFFFFF"/>
        </w:rPr>
        <w:t xml:space="preserve"> ore mining</w:t>
      </w:r>
      <w:r w:rsidR="00FA2F20" w:rsidRPr="00AF63BF">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 xml:space="preserve">the DNR should </w:t>
      </w:r>
      <w:r w:rsidR="00E0638E">
        <w:rPr>
          <w:rFonts w:eastAsia="Times New Roman" w:cs="Calibri"/>
          <w:color w:val="000000" w:themeColor="text1"/>
          <w:shd w:val="clear" w:color="auto" w:fill="FFFFFF"/>
        </w:rPr>
        <w:t xml:space="preserve">follow the broad recommendations found in </w:t>
      </w:r>
      <w:r w:rsidR="00FA2F20" w:rsidRPr="00AF63BF">
        <w:rPr>
          <w:rFonts w:eastAsia="Times New Roman" w:cs="Calibri"/>
          <w:color w:val="000000" w:themeColor="text1"/>
          <w:shd w:val="clear" w:color="auto" w:fill="FFFFFF"/>
        </w:rPr>
        <w:t xml:space="preserve">the </w:t>
      </w:r>
      <w:r w:rsidR="00986226">
        <w:rPr>
          <w:rFonts w:eastAsia="Times New Roman" w:cs="Calibri"/>
          <w:color w:val="EE0000"/>
          <w:shd w:val="clear" w:color="auto" w:fill="FFFFFF"/>
        </w:rPr>
        <w:t>Mine Environmenta Neutral Drainage Prediction Manual  for Drainage Chemistry from Sulphidic</w:t>
      </w:r>
      <w:r w:rsidR="00204997">
        <w:rPr>
          <w:rFonts w:eastAsia="Times New Roman" w:cs="Calibri"/>
          <w:color w:val="EE0000"/>
          <w:shd w:val="clear" w:color="auto" w:fill="FFFFFF"/>
        </w:rPr>
        <w:t xml:space="preserve"> Geologic </w:t>
      </w:r>
      <w:r w:rsidR="00204997" w:rsidRPr="00857C45">
        <w:rPr>
          <w:rFonts w:eastAsia="Times New Roman" w:cs="Calibri"/>
          <w:color w:val="EE0000"/>
          <w:shd w:val="clear" w:color="auto" w:fill="FFFFFF"/>
        </w:rPr>
        <w:t>Materials</w:t>
      </w:r>
      <w:r w:rsidR="00857C45" w:rsidRPr="00857C45">
        <w:rPr>
          <w:rFonts w:ascii="Calibri" w:eastAsia="Times New Roman" w:hAnsi="Calibri" w:cs="Calibri"/>
          <w:color w:val="EE0000"/>
          <w:shd w:val="clear" w:color="auto" w:fill="FFFFFF"/>
        </w:rPr>
        <w:t xml:space="preserve"> </w:t>
      </w:r>
      <w:r w:rsidR="00857C45" w:rsidRPr="00857C45">
        <w:rPr>
          <w:rFonts w:ascii="Calibri" w:eastAsia="Times New Roman" w:hAnsi="Calibri" w:cs="Calibri"/>
          <w:color w:val="000000" w:themeColor="text1"/>
          <w:highlight w:val="yellow"/>
          <w:shd w:val="clear" w:color="auto" w:fill="FFFFFF"/>
        </w:rPr>
        <w:t>https://www.scribd.com/document/873765222/MEND-2009</w:t>
      </w:r>
      <w:r w:rsidR="00FA2F20" w:rsidRPr="00857C45">
        <w:rPr>
          <w:rFonts w:eastAsia="Times New Roman" w:cs="Calibri"/>
          <w:color w:val="000000" w:themeColor="text1"/>
          <w:highlight w:val="yellow"/>
          <w:shd w:val="clear" w:color="auto" w:fill="FFFFFF"/>
        </w:rPr>
        <w:t>:</w:t>
      </w:r>
      <w:r w:rsidR="00FA2F20" w:rsidRPr="00AF63BF">
        <w:rPr>
          <w:rFonts w:ascii="Calibri" w:eastAsia="Times New Roman" w:hAnsi="Calibri" w:cs="Calibri"/>
          <w:color w:val="000000" w:themeColor="text1"/>
          <w:shd w:val="clear" w:color="auto" w:fill="FFFFFF"/>
        </w:rPr>
        <w:t xml:space="preserve">  </w:t>
      </w:r>
    </w:p>
    <w:p w14:paraId="0046EACE" w14:textId="2FF18996" w:rsidR="00461A5B" w:rsidRDefault="00E0638E" w:rsidP="00461A5B">
      <w:pPr>
        <w:pStyle w:val="NoSpacing"/>
        <w:numPr>
          <w:ilvl w:val="0"/>
          <w:numId w:val="39"/>
        </w:numPr>
        <w:spacing w:line="276" w:lineRule="auto"/>
      </w:pPr>
      <w:r>
        <w:rPr>
          <w:rFonts w:eastAsia="Times New Roman" w:cs="Arial"/>
          <w:color w:val="000000"/>
          <w:kern w:val="0"/>
          <w14:ligatures w14:val="none"/>
        </w:rPr>
        <w:t xml:space="preserve">Environmental </w:t>
      </w:r>
      <w:r w:rsidR="008013AE">
        <w:rPr>
          <w:rFonts w:eastAsia="Times New Roman" w:cs="Arial"/>
          <w:color w:val="000000"/>
          <w:kern w:val="0"/>
          <w14:ligatures w14:val="none"/>
        </w:rPr>
        <w:t>reviews</w:t>
      </w:r>
      <w:r>
        <w:rPr>
          <w:rFonts w:eastAsia="Times New Roman" w:cs="Arial"/>
          <w:color w:val="000000"/>
          <w:kern w:val="0"/>
          <w14:ligatures w14:val="none"/>
        </w:rPr>
        <w:t xml:space="preserve"> of resource extractive projects should incorporate h</w:t>
      </w:r>
      <w:r w:rsidR="004D4A7D" w:rsidRPr="00E0638E">
        <w:rPr>
          <w:rFonts w:eastAsia="Times New Roman" w:cs="Arial"/>
          <w:color w:val="000000"/>
          <w:kern w:val="0"/>
          <w14:ligatures w14:val="none"/>
        </w:rPr>
        <w:t>olistic consideration of environmental impacts: climate change, ecosystem services</w:t>
      </w:r>
      <w:r w:rsidR="002B66E6">
        <w:rPr>
          <w:rFonts w:eastAsia="Times New Roman" w:cs="Arial"/>
          <w:color w:val="000000"/>
          <w:kern w:val="0"/>
          <w14:ligatures w14:val="none"/>
        </w:rPr>
        <w:t xml:space="preserve"> and benefits</w:t>
      </w:r>
      <w:r w:rsidR="009C6C3D">
        <w:rPr>
          <w:rFonts w:eastAsia="Times New Roman" w:cs="Arial"/>
          <w:color w:val="000000"/>
          <w:kern w:val="0"/>
          <w14:ligatures w14:val="none"/>
        </w:rPr>
        <w:t xml:space="preserve"> of the affected area</w:t>
      </w:r>
      <w:r w:rsidR="004D4A7D" w:rsidRPr="00E0638E">
        <w:rPr>
          <w:rFonts w:eastAsia="Times New Roman" w:cs="Arial"/>
          <w:color w:val="000000"/>
          <w:kern w:val="0"/>
          <w14:ligatures w14:val="none"/>
        </w:rPr>
        <w:t xml:space="preserve">, </w:t>
      </w:r>
      <w:r w:rsidR="007572A0">
        <w:rPr>
          <w:rFonts w:eastAsia="Times New Roman" w:cs="Arial"/>
          <w:color w:val="000000"/>
          <w:kern w:val="0"/>
          <w14:ligatures w14:val="none"/>
        </w:rPr>
        <w:t>robust cumulative effects analysis</w:t>
      </w:r>
      <w:r w:rsidR="00734737">
        <w:rPr>
          <w:rFonts w:eastAsia="Times New Roman" w:cs="Arial"/>
          <w:color w:val="000000"/>
          <w:kern w:val="0"/>
          <w14:ligatures w14:val="none"/>
        </w:rPr>
        <w:t xml:space="preserve"> (including to treaty-protected resources)</w:t>
      </w:r>
      <w:r w:rsidR="007572A0">
        <w:rPr>
          <w:rFonts w:eastAsia="Times New Roman" w:cs="Arial"/>
          <w:color w:val="000000"/>
          <w:kern w:val="0"/>
          <w14:ligatures w14:val="none"/>
        </w:rPr>
        <w:t xml:space="preserve">, and should incorporate Health Impact </w:t>
      </w:r>
      <w:r w:rsidR="007572A0">
        <w:rPr>
          <w:rFonts w:eastAsia="Times New Roman" w:cs="Arial"/>
          <w:color w:val="000000"/>
          <w:kern w:val="0"/>
          <w14:ligatures w14:val="none"/>
        </w:rPr>
        <w:lastRenderedPageBreak/>
        <w:t>Analysis</w:t>
      </w:r>
      <w:r w:rsidR="00AA17BB">
        <w:rPr>
          <w:rFonts w:eastAsia="Times New Roman" w:cs="Arial"/>
          <w:color w:val="000000"/>
          <w:kern w:val="0"/>
          <w14:ligatures w14:val="none"/>
        </w:rPr>
        <w:t xml:space="preserve"> where a proposed project could lead to increased risk for human health.</w:t>
      </w:r>
      <w:r w:rsidR="009C6C3D">
        <w:rPr>
          <w:rFonts w:eastAsia="Times New Roman" w:cs="Arial"/>
          <w:color w:val="000000"/>
          <w:kern w:val="0"/>
          <w14:ligatures w14:val="none"/>
        </w:rPr>
        <w:t xml:space="preserve"> </w:t>
      </w:r>
      <w:r w:rsidR="004D4A7D" w:rsidRPr="00E0638E">
        <w:rPr>
          <w:rFonts w:eastAsia="Times New Roman" w:cs="Arial"/>
          <w:color w:val="000000"/>
          <w:kern w:val="0"/>
          <w14:ligatures w14:val="none"/>
        </w:rPr>
        <w:t xml:space="preserve"> </w:t>
      </w:r>
    </w:p>
    <w:p w14:paraId="35B65C06" w14:textId="0950A758" w:rsidR="00B2037D" w:rsidRDefault="00B2037D" w:rsidP="00C1637A">
      <w:pPr>
        <w:shd w:val="clear" w:color="auto" w:fill="FFFFFF" w:themeFill="background1"/>
        <w:spacing w:before="100" w:beforeAutospacing="1" w:after="100" w:afterAutospacing="1" w:line="276" w:lineRule="auto"/>
        <w:textAlignment w:val="baseline"/>
        <w:rPr>
          <w:rFonts w:eastAsia="Times New Roman" w:cs="Arial"/>
          <w:b/>
          <w:bCs/>
          <w:color w:val="000000"/>
          <w:kern w:val="0"/>
          <w14:ligatures w14:val="none"/>
        </w:rPr>
      </w:pPr>
      <w:r w:rsidRPr="00B2037D">
        <w:rPr>
          <w:rFonts w:eastAsia="Times New Roman" w:cs="Arial"/>
          <w:b/>
          <w:bCs/>
          <w:color w:val="000000"/>
          <w:kern w:val="0"/>
          <w14:ligatures w14:val="none"/>
        </w:rPr>
        <w:t>Gas Extraction</w:t>
      </w:r>
    </w:p>
    <w:p w14:paraId="0631FF28" w14:textId="763DFC36" w:rsidR="00F01A95" w:rsidRPr="00092548" w:rsidRDefault="00092548" w:rsidP="00C1637A">
      <w:pPr>
        <w:shd w:val="clear" w:color="auto" w:fill="FFFFFF" w:themeFill="background1"/>
        <w:spacing w:before="100" w:beforeAutospacing="1" w:after="100" w:afterAutospacing="1" w:line="276" w:lineRule="auto"/>
        <w:textAlignment w:val="baseline"/>
        <w:rPr>
          <w:rFonts w:eastAsia="Times New Roman" w:cs="Arial"/>
          <w:color w:val="000000"/>
          <w:kern w:val="0"/>
          <w14:ligatures w14:val="none"/>
        </w:rPr>
      </w:pPr>
      <w:r>
        <w:rPr>
          <w:rFonts w:eastAsia="Times New Roman" w:cs="Arial"/>
          <w:color w:val="000000"/>
          <w:kern w:val="0"/>
          <w14:ligatures w14:val="none"/>
        </w:rPr>
        <w:t xml:space="preserve">While the Task Force </w:t>
      </w:r>
      <w:r w:rsidR="002B5BA7">
        <w:rPr>
          <w:rFonts w:eastAsia="Times New Roman" w:cs="Arial"/>
          <w:color w:val="000000"/>
          <w:kern w:val="0"/>
          <w14:ligatures w14:val="none"/>
        </w:rPr>
        <w:t>acknowledges</w:t>
      </w:r>
      <w:r>
        <w:rPr>
          <w:rFonts w:eastAsia="Times New Roman" w:cs="Arial"/>
          <w:color w:val="000000"/>
          <w:kern w:val="0"/>
          <w14:ligatures w14:val="none"/>
        </w:rPr>
        <w:t xml:space="preserve"> that r</w:t>
      </w:r>
      <w:r w:rsidR="002E602C" w:rsidRPr="00092548">
        <w:rPr>
          <w:rFonts w:eastAsia="Times New Roman" w:cs="Arial"/>
          <w:color w:val="000000"/>
          <w:kern w:val="0"/>
          <w14:ligatures w14:val="none"/>
        </w:rPr>
        <w:t>ulemaking</w:t>
      </w:r>
      <w:r>
        <w:rPr>
          <w:rFonts w:eastAsia="Times New Roman" w:cs="Arial"/>
          <w:color w:val="000000"/>
          <w:kern w:val="0"/>
          <w14:ligatures w14:val="none"/>
        </w:rPr>
        <w:t xml:space="preserve"> is currently</w:t>
      </w:r>
      <w:r w:rsidR="002E602C" w:rsidRPr="00092548">
        <w:rPr>
          <w:rFonts w:eastAsia="Times New Roman" w:cs="Arial"/>
          <w:color w:val="000000"/>
          <w:kern w:val="0"/>
          <w14:ligatures w14:val="none"/>
        </w:rPr>
        <w:t xml:space="preserve"> in progress</w:t>
      </w:r>
      <w:r>
        <w:rPr>
          <w:rFonts w:eastAsia="Times New Roman" w:cs="Arial"/>
          <w:color w:val="000000"/>
          <w:kern w:val="0"/>
          <w14:ligatures w14:val="none"/>
        </w:rPr>
        <w:t xml:space="preserve">, we </w:t>
      </w:r>
      <w:r w:rsidR="00D819D3">
        <w:rPr>
          <w:rFonts w:eastAsia="Times New Roman" w:cs="Arial"/>
          <w:color w:val="000000"/>
          <w:kern w:val="0"/>
          <w14:ligatures w14:val="none"/>
        </w:rPr>
        <w:t xml:space="preserve">recommend that the applicable review and permitting agencies </w:t>
      </w:r>
      <w:r w:rsidR="00E57C75">
        <w:rPr>
          <w:rFonts w:eastAsia="Times New Roman" w:cs="Arial"/>
          <w:color w:val="000000"/>
          <w:kern w:val="0"/>
          <w14:ligatures w14:val="none"/>
        </w:rPr>
        <w:t xml:space="preserve">recognize and fully </w:t>
      </w:r>
      <w:r w:rsidR="00547894">
        <w:rPr>
          <w:rFonts w:eastAsia="Times New Roman" w:cs="Arial"/>
          <w:color w:val="000000"/>
          <w:kern w:val="0"/>
          <w14:ligatures w14:val="none"/>
        </w:rPr>
        <w:t>consider</w:t>
      </w:r>
      <w:r>
        <w:rPr>
          <w:rFonts w:eastAsia="Times New Roman" w:cs="Arial"/>
          <w:color w:val="000000"/>
          <w:kern w:val="0"/>
          <w14:ligatures w14:val="none"/>
        </w:rPr>
        <w:t xml:space="preserve"> </w:t>
      </w:r>
      <w:r w:rsidR="00547894">
        <w:rPr>
          <w:rFonts w:eastAsia="Times New Roman" w:cs="Arial"/>
          <w:color w:val="000000"/>
          <w:kern w:val="0"/>
          <w14:ligatures w14:val="none"/>
        </w:rPr>
        <w:t>the</w:t>
      </w:r>
      <w:r w:rsidR="00E67A65" w:rsidRPr="00092548">
        <w:rPr>
          <w:rFonts w:eastAsia="Times New Roman" w:cs="Arial"/>
          <w:color w:val="000000"/>
          <w:kern w:val="0"/>
          <w14:ligatures w14:val="none"/>
        </w:rPr>
        <w:t xml:space="preserve"> cumulative environmental impacts</w:t>
      </w:r>
      <w:r w:rsidR="00547894">
        <w:rPr>
          <w:rFonts w:eastAsia="Times New Roman" w:cs="Arial"/>
          <w:color w:val="000000"/>
          <w:kern w:val="0"/>
          <w14:ligatures w14:val="none"/>
        </w:rPr>
        <w:t xml:space="preserve"> of </w:t>
      </w:r>
      <w:r w:rsidR="001940A1">
        <w:rPr>
          <w:rFonts w:eastAsia="Times New Roman" w:cs="Arial"/>
          <w:color w:val="000000"/>
          <w:kern w:val="0"/>
          <w14:ligatures w14:val="none"/>
        </w:rPr>
        <w:t xml:space="preserve">construction, infrastructure, and operations </w:t>
      </w:r>
      <w:r w:rsidR="009A2BE6">
        <w:rPr>
          <w:rFonts w:eastAsia="Times New Roman" w:cs="Arial"/>
          <w:color w:val="000000"/>
          <w:kern w:val="0"/>
          <w14:ligatures w14:val="none"/>
        </w:rPr>
        <w:t xml:space="preserve">for </w:t>
      </w:r>
      <w:r w:rsidR="00547894">
        <w:rPr>
          <w:rFonts w:eastAsia="Times New Roman" w:cs="Arial"/>
          <w:color w:val="000000"/>
          <w:kern w:val="0"/>
          <w14:ligatures w14:val="none"/>
        </w:rPr>
        <w:t>this new extractive industry seeking to operate within a region that has already experienced</w:t>
      </w:r>
      <w:r w:rsidR="00A41B08">
        <w:rPr>
          <w:rFonts w:eastAsia="Times New Roman" w:cs="Arial"/>
          <w:color w:val="000000"/>
          <w:kern w:val="0"/>
          <w14:ligatures w14:val="none"/>
        </w:rPr>
        <w:t xml:space="preserve"> nearly two centuries of </w:t>
      </w:r>
      <w:r w:rsidR="007918F4">
        <w:rPr>
          <w:rFonts w:eastAsia="Times New Roman" w:cs="Arial"/>
          <w:color w:val="000000"/>
          <w:kern w:val="0"/>
          <w14:ligatures w14:val="none"/>
        </w:rPr>
        <w:t xml:space="preserve">intensive </w:t>
      </w:r>
      <w:r w:rsidR="00A41B08">
        <w:rPr>
          <w:rFonts w:eastAsia="Times New Roman" w:cs="Arial"/>
          <w:color w:val="000000"/>
          <w:kern w:val="0"/>
          <w14:ligatures w14:val="none"/>
        </w:rPr>
        <w:t xml:space="preserve">resource </w:t>
      </w:r>
      <w:commentRangeStart w:id="62"/>
      <w:commentRangeStart w:id="63"/>
      <w:r w:rsidR="00A41B08">
        <w:rPr>
          <w:rFonts w:eastAsia="Times New Roman" w:cs="Arial"/>
          <w:color w:val="000000"/>
          <w:kern w:val="0"/>
          <w14:ligatures w14:val="none"/>
        </w:rPr>
        <w:t>extraction</w:t>
      </w:r>
      <w:commentRangeEnd w:id="62"/>
      <w:r w:rsidR="00AD68AB">
        <w:rPr>
          <w:rStyle w:val="CommentReference"/>
          <w:rFonts w:eastAsia="Times New Roman" w:cs="Arial"/>
          <w:color w:val="000000"/>
          <w:kern w:val="0"/>
          <w:sz w:val="24"/>
          <w:szCs w:val="24"/>
          <w14:ligatures w14:val="none"/>
        </w:rPr>
        <w:commentReference w:id="62"/>
      </w:r>
      <w:commentRangeEnd w:id="63"/>
      <w:r w:rsidR="002064FC">
        <w:rPr>
          <w:rStyle w:val="CommentReference"/>
          <w:rFonts w:eastAsia="Times New Roman" w:cs="Arial"/>
          <w:color w:val="000000"/>
          <w:kern w:val="0"/>
          <w:sz w:val="24"/>
          <w:szCs w:val="24"/>
          <w14:ligatures w14:val="none"/>
        </w:rPr>
        <w:commentReference w:id="63"/>
      </w:r>
      <w:r w:rsidR="002B5BA7">
        <w:rPr>
          <w:rFonts w:eastAsia="Times New Roman" w:cs="Arial"/>
          <w:color w:val="000000"/>
          <w:kern w:val="0"/>
          <w14:ligatures w14:val="none"/>
        </w:rPr>
        <w:t xml:space="preserve">. </w:t>
      </w:r>
    </w:p>
    <w:p w14:paraId="1F6ED7EC" w14:textId="46AD261C" w:rsidR="00B2037D" w:rsidRPr="003F6C6B" w:rsidRDefault="00B2037D" w:rsidP="00C1637A">
      <w:pPr>
        <w:pStyle w:val="NoSpacing"/>
        <w:spacing w:line="276" w:lineRule="auto"/>
        <w:rPr>
          <w:b/>
          <w:bCs/>
        </w:rPr>
      </w:pPr>
      <w:r w:rsidRPr="003F6C6B">
        <w:rPr>
          <w:b/>
          <w:bCs/>
        </w:rPr>
        <w:t>Pipelines</w:t>
      </w:r>
    </w:p>
    <w:p w14:paraId="5463D08F" w14:textId="77777777" w:rsidR="00BE7B54" w:rsidRDefault="00BE7B54" w:rsidP="00C1637A">
      <w:pPr>
        <w:pStyle w:val="NoSpacing"/>
        <w:spacing w:line="276" w:lineRule="auto"/>
        <w:rPr>
          <w:rFonts w:eastAsia="Times New Roman" w:cs="Arial"/>
          <w:color w:val="000000"/>
          <w:kern w:val="0"/>
          <w14:ligatures w14:val="none"/>
        </w:rPr>
      </w:pPr>
      <w:r>
        <w:rPr>
          <w:rFonts w:eastAsia="Times New Roman" w:cs="Arial"/>
          <w:color w:val="000000"/>
          <w:kern w:val="0"/>
          <w14:ligatures w14:val="none"/>
        </w:rPr>
        <w:t xml:space="preserve"> </w:t>
      </w:r>
    </w:p>
    <w:p w14:paraId="65678E1C" w14:textId="77F5EAAE" w:rsidR="00F16DF3" w:rsidRDefault="00BE7B54" w:rsidP="00C1637A">
      <w:pPr>
        <w:pStyle w:val="NoSpacing"/>
        <w:spacing w:line="276" w:lineRule="auto"/>
      </w:pPr>
      <w:r>
        <w:rPr>
          <w:rFonts w:eastAsia="Times New Roman" w:cs="Arial"/>
          <w:color w:val="000000"/>
          <w:kern w:val="0"/>
          <w14:ligatures w14:val="none"/>
        </w:rPr>
        <w:t xml:space="preserve">The Minnesota Water Sustainability Framework </w:t>
      </w:r>
      <w:r w:rsidR="00CC7BAD">
        <w:rPr>
          <w:rFonts w:eastAsia="Times New Roman" w:cs="Arial"/>
          <w:color w:val="000000"/>
          <w:kern w:val="0"/>
          <w14:ligatures w14:val="none"/>
        </w:rPr>
        <w:t xml:space="preserve">authors </w:t>
      </w:r>
      <w:r w:rsidR="0081686C">
        <w:rPr>
          <w:rFonts w:eastAsia="Times New Roman" w:cs="Arial"/>
          <w:color w:val="000000"/>
          <w:kern w:val="0"/>
          <w14:ligatures w14:val="none"/>
        </w:rPr>
        <w:t xml:space="preserve">elevated their concerns for what they termed </w:t>
      </w:r>
      <w:r w:rsidR="00F16DF3">
        <w:rPr>
          <w:rFonts w:eastAsia="Times New Roman" w:cs="Arial"/>
          <w:color w:val="000000"/>
          <w:kern w:val="0"/>
          <w14:ligatures w14:val="none"/>
        </w:rPr>
        <w:t xml:space="preserve">the </w:t>
      </w:r>
      <w:r w:rsidR="00CC7BAD">
        <w:rPr>
          <w:rFonts w:eastAsia="Times New Roman" w:cs="Arial"/>
          <w:color w:val="000000"/>
          <w:kern w:val="0"/>
          <w14:ligatures w14:val="none"/>
        </w:rPr>
        <w:t>“</w:t>
      </w:r>
      <w:r w:rsidR="00F16DF3">
        <w:rPr>
          <w:rFonts w:eastAsia="Times New Roman" w:cs="Arial"/>
          <w:color w:val="000000"/>
          <w:kern w:val="0"/>
          <w14:ligatures w14:val="none"/>
        </w:rPr>
        <w:t>Energy/Water Nexus</w:t>
      </w:r>
      <w:r w:rsidR="00CC7BAD">
        <w:rPr>
          <w:rFonts w:eastAsia="Times New Roman" w:cs="Arial"/>
          <w:color w:val="000000"/>
          <w:kern w:val="0"/>
          <w14:ligatures w14:val="none"/>
        </w:rPr>
        <w:t>”</w:t>
      </w:r>
      <w:r w:rsidR="00E845DC">
        <w:rPr>
          <w:rFonts w:eastAsia="Times New Roman" w:cs="Arial"/>
          <w:color w:val="000000"/>
          <w:kern w:val="0"/>
          <w14:ligatures w14:val="none"/>
        </w:rPr>
        <w:t xml:space="preserve">. </w:t>
      </w:r>
      <w:r w:rsidR="00E845DC">
        <w:t>It takes energy to supply water, and it takes water to supply energy. Water quantity and quality must be considered in the context of energy needs, and energy in the context of water quality and quantity needs.</w:t>
      </w:r>
      <w:r w:rsidR="00B667A9">
        <w:t xml:space="preserve"> While their recommendations focused on </w:t>
      </w:r>
      <w:r w:rsidR="007910D0">
        <w:t xml:space="preserve">the </w:t>
      </w:r>
      <w:r w:rsidR="00020C77">
        <w:t xml:space="preserve">economic and environmental </w:t>
      </w:r>
      <w:r w:rsidR="007910D0">
        <w:t xml:space="preserve">co-benefits of promoting </w:t>
      </w:r>
      <w:r w:rsidR="00020C77">
        <w:t xml:space="preserve">both </w:t>
      </w:r>
      <w:r w:rsidR="007910D0">
        <w:t>energy efficie</w:t>
      </w:r>
      <w:r w:rsidR="00A81010">
        <w:t>ncy and conservative water use, the Task Force</w:t>
      </w:r>
      <w:r w:rsidR="00DC4809">
        <w:t xml:space="preserve"> notes our growing </w:t>
      </w:r>
      <w:r w:rsidR="00EA164E">
        <w:t>awareness</w:t>
      </w:r>
      <w:r w:rsidR="00DC4809">
        <w:t xml:space="preserve"> </w:t>
      </w:r>
      <w:r w:rsidR="001E6B24">
        <w:t>of the cumulative impacts of pipeline transport</w:t>
      </w:r>
      <w:r w:rsidR="00B929D1">
        <w:t xml:space="preserve"> of fossil fuels across the state’s sensitive landscapes. </w:t>
      </w:r>
      <w:r w:rsidR="00EA164E">
        <w:t xml:space="preserve">Those impacts include hydrologic </w:t>
      </w:r>
      <w:r w:rsidR="005D33B0">
        <w:t>disruption to surface waters, groundwater and wetlands, introduction and spread of invasive species</w:t>
      </w:r>
      <w:r w:rsidR="001C5CA6">
        <w:t>, and thermal impacts. The Task Force recommends</w:t>
      </w:r>
      <w:r w:rsidR="00854AF9">
        <w:t xml:space="preserve"> that environmental </w:t>
      </w:r>
      <w:r w:rsidR="008013AE">
        <w:t>reviews</w:t>
      </w:r>
      <w:r w:rsidR="00854AF9">
        <w:t xml:space="preserve"> of all pipeline construction, removal or repair projects include</w:t>
      </w:r>
      <w:r w:rsidR="001C5CA6">
        <w:t>:</w:t>
      </w:r>
    </w:p>
    <w:p w14:paraId="66534E56" w14:textId="77777777" w:rsidR="001C5CA6" w:rsidRDefault="001C5CA6" w:rsidP="00C1637A">
      <w:pPr>
        <w:pStyle w:val="NoSpacing"/>
        <w:spacing w:line="276" w:lineRule="auto"/>
        <w:rPr>
          <w:rFonts w:eastAsia="Times New Roman" w:cs="Arial"/>
          <w:color w:val="000000"/>
          <w:kern w:val="0"/>
          <w14:ligatures w14:val="none"/>
        </w:rPr>
      </w:pPr>
    </w:p>
    <w:p w14:paraId="4C323166" w14:textId="5A7DFDBF" w:rsidR="00F41AAF" w:rsidRDefault="00854AF9" w:rsidP="00C1637A">
      <w:pPr>
        <w:pStyle w:val="NoSpacing"/>
        <w:numPr>
          <w:ilvl w:val="0"/>
          <w:numId w:val="16"/>
        </w:numPr>
        <w:spacing w:line="276" w:lineRule="auto"/>
        <w:rPr>
          <w:rFonts w:eastAsia="Times New Roman" w:cs="Arial"/>
          <w:color w:val="000000"/>
          <w:kern w:val="0"/>
          <w14:ligatures w14:val="none"/>
        </w:rPr>
      </w:pPr>
      <w:r>
        <w:rPr>
          <w:rFonts w:eastAsia="Times New Roman" w:cs="Arial"/>
          <w:color w:val="000000"/>
          <w:kern w:val="0"/>
          <w14:ligatures w14:val="none"/>
        </w:rPr>
        <w:t>Spatially comprehensive c</w:t>
      </w:r>
      <w:r w:rsidR="00F16DF3" w:rsidRPr="001C5CA6">
        <w:rPr>
          <w:rFonts w:eastAsia="Times New Roman" w:cs="Arial"/>
          <w:color w:val="000000"/>
          <w:kern w:val="0"/>
          <w14:ligatures w14:val="none"/>
        </w:rPr>
        <w:t xml:space="preserve">umulative impacts </w:t>
      </w:r>
      <w:r w:rsidR="00014120" w:rsidRPr="001C5CA6">
        <w:rPr>
          <w:rFonts w:eastAsia="Times New Roman" w:cs="Arial"/>
          <w:color w:val="000000"/>
          <w:kern w:val="0"/>
          <w14:ligatures w14:val="none"/>
        </w:rPr>
        <w:t xml:space="preserve">analysis </w:t>
      </w:r>
      <w:r w:rsidR="00736BCE">
        <w:rPr>
          <w:rFonts w:eastAsia="Times New Roman" w:cs="Arial"/>
          <w:color w:val="000000"/>
          <w:kern w:val="0"/>
          <w14:ligatures w14:val="none"/>
        </w:rPr>
        <w:t xml:space="preserve">of pipeline projects </w:t>
      </w:r>
    </w:p>
    <w:p w14:paraId="526CE9E2" w14:textId="44658F4F" w:rsidR="00F16DF3" w:rsidRPr="001C5CA6" w:rsidRDefault="00854AF9" w:rsidP="00C1637A">
      <w:pPr>
        <w:pStyle w:val="NoSpacing"/>
        <w:numPr>
          <w:ilvl w:val="0"/>
          <w:numId w:val="16"/>
        </w:numPr>
        <w:spacing w:line="276" w:lineRule="auto"/>
        <w:rPr>
          <w:rFonts w:eastAsia="Times New Roman" w:cs="Arial"/>
          <w:color w:val="000000"/>
          <w:kern w:val="0"/>
          <w14:ligatures w14:val="none"/>
        </w:rPr>
      </w:pPr>
      <w:r>
        <w:rPr>
          <w:rFonts w:eastAsia="Times New Roman" w:cs="Arial"/>
          <w:color w:val="000000"/>
          <w:kern w:val="0"/>
          <w14:ligatures w14:val="none"/>
        </w:rPr>
        <w:t>Robust analysis</w:t>
      </w:r>
      <w:r w:rsidR="00F16DF3" w:rsidRPr="001C5CA6">
        <w:rPr>
          <w:rFonts w:eastAsia="Times New Roman" w:cs="Arial"/>
          <w:color w:val="000000"/>
          <w:kern w:val="0"/>
          <w14:ligatures w14:val="none"/>
        </w:rPr>
        <w:t xml:space="preserve"> of hydrologic alteration (</w:t>
      </w:r>
      <w:r w:rsidR="00014120" w:rsidRPr="001C5CA6">
        <w:rPr>
          <w:rFonts w:eastAsia="Times New Roman" w:cs="Arial"/>
          <w:color w:val="000000"/>
          <w:kern w:val="0"/>
          <w14:ligatures w14:val="none"/>
        </w:rPr>
        <w:t>surface and groundwaters)</w:t>
      </w:r>
      <w:r w:rsidR="00F16DF3" w:rsidRPr="001C5CA6">
        <w:rPr>
          <w:rFonts w:eastAsia="Times New Roman" w:cs="Arial"/>
          <w:color w:val="000000"/>
          <w:kern w:val="0"/>
          <w14:ligatures w14:val="none"/>
        </w:rPr>
        <w:t xml:space="preserve"> to inform </w:t>
      </w:r>
      <w:r w:rsidR="004510C9">
        <w:rPr>
          <w:rFonts w:eastAsia="Times New Roman" w:cs="Arial"/>
          <w:color w:val="000000"/>
          <w:kern w:val="0"/>
          <w14:ligatures w14:val="none"/>
        </w:rPr>
        <w:t xml:space="preserve">best </w:t>
      </w:r>
      <w:r w:rsidR="00F16DF3" w:rsidRPr="001C5CA6">
        <w:rPr>
          <w:rFonts w:eastAsia="Times New Roman" w:cs="Arial"/>
          <w:color w:val="000000"/>
          <w:kern w:val="0"/>
          <w14:ligatures w14:val="none"/>
        </w:rPr>
        <w:t xml:space="preserve">construction practices and </w:t>
      </w:r>
      <w:r>
        <w:rPr>
          <w:rFonts w:eastAsia="Times New Roman" w:cs="Arial"/>
          <w:color w:val="000000"/>
          <w:kern w:val="0"/>
          <w14:ligatures w14:val="none"/>
        </w:rPr>
        <w:t xml:space="preserve">adequate </w:t>
      </w:r>
      <w:r w:rsidR="00F16DF3" w:rsidRPr="001C5CA6">
        <w:rPr>
          <w:rFonts w:eastAsia="Times New Roman" w:cs="Arial"/>
          <w:color w:val="000000"/>
          <w:kern w:val="0"/>
          <w14:ligatures w14:val="none"/>
        </w:rPr>
        <w:t xml:space="preserve">mitigation </w:t>
      </w:r>
      <w:r w:rsidR="008013AE" w:rsidRPr="001C5CA6">
        <w:rPr>
          <w:rFonts w:eastAsia="Times New Roman" w:cs="Arial"/>
          <w:color w:val="000000"/>
          <w:kern w:val="0"/>
          <w14:ligatures w14:val="none"/>
        </w:rPr>
        <w:t>requirements.</w:t>
      </w:r>
    </w:p>
    <w:p w14:paraId="1FC355EF" w14:textId="6D2148C5" w:rsidR="004510C9" w:rsidRDefault="00F16DF3" w:rsidP="00C1637A">
      <w:pPr>
        <w:pStyle w:val="NoSpacing"/>
        <w:numPr>
          <w:ilvl w:val="0"/>
          <w:numId w:val="16"/>
        </w:numPr>
        <w:spacing w:line="276" w:lineRule="auto"/>
        <w:rPr>
          <w:rFonts w:eastAsia="Times New Roman" w:cs="Arial"/>
          <w:color w:val="000000"/>
          <w:kern w:val="0"/>
          <w14:ligatures w14:val="none"/>
        </w:rPr>
      </w:pPr>
      <w:r>
        <w:rPr>
          <w:rFonts w:eastAsia="Times New Roman" w:cs="Arial"/>
          <w:color w:val="000000"/>
          <w:kern w:val="0"/>
          <w14:ligatures w14:val="none"/>
        </w:rPr>
        <w:t xml:space="preserve">Support </w:t>
      </w:r>
      <w:r w:rsidR="008013AE">
        <w:rPr>
          <w:rFonts w:eastAsia="Times New Roman" w:cs="Arial"/>
          <w:color w:val="000000"/>
          <w:kern w:val="0"/>
          <w14:ligatures w14:val="none"/>
        </w:rPr>
        <w:t>monitoring and</w:t>
      </w:r>
      <w:r>
        <w:rPr>
          <w:rFonts w:eastAsia="Times New Roman" w:cs="Arial"/>
          <w:color w:val="000000"/>
          <w:kern w:val="0"/>
          <w14:ligatures w14:val="none"/>
        </w:rPr>
        <w:t xml:space="preserve"> research on thermal effects to ecosystems</w:t>
      </w:r>
      <w:r w:rsidR="00854AF9">
        <w:rPr>
          <w:rFonts w:eastAsia="Times New Roman" w:cs="Arial"/>
          <w:color w:val="000000"/>
          <w:kern w:val="0"/>
          <w14:ligatures w14:val="none"/>
        </w:rPr>
        <w:t xml:space="preserve"> from petroleum product </w:t>
      </w:r>
      <w:r w:rsidR="007747B5">
        <w:rPr>
          <w:rFonts w:eastAsia="Times New Roman" w:cs="Arial"/>
          <w:color w:val="000000"/>
          <w:kern w:val="0"/>
          <w14:ligatures w14:val="none"/>
        </w:rPr>
        <w:t xml:space="preserve">pipeline </w:t>
      </w:r>
      <w:commentRangeStart w:id="64"/>
      <w:commentRangeStart w:id="65"/>
      <w:r w:rsidR="00C31AEA">
        <w:rPr>
          <w:rFonts w:eastAsia="Times New Roman" w:cs="Arial"/>
          <w:color w:val="000000"/>
          <w:kern w:val="0"/>
          <w14:ligatures w14:val="none"/>
        </w:rPr>
        <w:t>transport</w:t>
      </w:r>
      <w:commentRangeEnd w:id="64"/>
      <w:r w:rsidR="00870E8B">
        <w:rPr>
          <w:rStyle w:val="CommentReference"/>
          <w:rFonts w:eastAsia="Times New Roman" w:cs="Arial"/>
          <w:color w:val="000000"/>
          <w:kern w:val="0"/>
          <w:sz w:val="24"/>
          <w:szCs w:val="24"/>
          <w14:ligatures w14:val="none"/>
        </w:rPr>
        <w:commentReference w:id="64"/>
      </w:r>
      <w:commentRangeEnd w:id="65"/>
      <w:r w:rsidR="00CF5A81">
        <w:rPr>
          <w:rStyle w:val="CommentReference"/>
          <w:rFonts w:eastAsia="Times New Roman" w:cs="Arial"/>
          <w:color w:val="000000"/>
          <w:kern w:val="0"/>
          <w:sz w:val="24"/>
          <w:szCs w:val="24"/>
          <w14:ligatures w14:val="none"/>
        </w:rPr>
        <w:commentReference w:id="65"/>
      </w:r>
      <w:r w:rsidR="00C31AEA">
        <w:rPr>
          <w:rFonts w:eastAsia="Times New Roman" w:cs="Arial"/>
          <w:color w:val="000000"/>
          <w:kern w:val="0"/>
          <w14:ligatures w14:val="none"/>
        </w:rPr>
        <w:t>.</w:t>
      </w:r>
    </w:p>
    <w:p w14:paraId="54C27E55" w14:textId="77777777" w:rsidR="004510C9" w:rsidRDefault="004510C9" w:rsidP="00C1637A">
      <w:pPr>
        <w:pStyle w:val="NoSpacing"/>
        <w:spacing w:line="276" w:lineRule="auto"/>
        <w:rPr>
          <w:rFonts w:eastAsia="Times New Roman" w:cs="Arial"/>
          <w:color w:val="000000"/>
          <w:kern w:val="0"/>
          <w14:ligatures w14:val="none"/>
        </w:rPr>
      </w:pPr>
    </w:p>
    <w:p w14:paraId="6852AF68" w14:textId="77777777" w:rsidR="004510C9" w:rsidRPr="004510C9" w:rsidRDefault="004510C9" w:rsidP="00C1637A">
      <w:pPr>
        <w:pStyle w:val="NoSpacing"/>
        <w:spacing w:line="276" w:lineRule="auto"/>
        <w:rPr>
          <w:rFonts w:eastAsia="Times New Roman" w:cs="Arial"/>
          <w:color w:val="000000"/>
          <w:kern w:val="0"/>
          <w14:ligatures w14:val="none"/>
        </w:rPr>
      </w:pPr>
    </w:p>
    <w:p w14:paraId="232636CB" w14:textId="2247F146" w:rsidR="00F16DF3" w:rsidRDefault="008F67CB" w:rsidP="008F67CB">
      <w:pPr>
        <w:rPr>
          <w:rFonts w:eastAsia="Times New Roman" w:cs="Arial"/>
          <w:color w:val="000000"/>
          <w:kern w:val="0"/>
          <w14:ligatures w14:val="none"/>
        </w:rPr>
      </w:pPr>
      <w:r>
        <w:rPr>
          <w:rFonts w:eastAsia="Times New Roman" w:cs="Arial"/>
          <w:color w:val="000000"/>
          <w:kern w:val="0"/>
          <w14:ligatures w14:val="none"/>
        </w:rPr>
        <w:br w:type="page"/>
      </w:r>
    </w:p>
    <w:p w14:paraId="7F358845" w14:textId="2E8748C6" w:rsidR="00F16DF3" w:rsidRPr="00715210" w:rsidRDefault="003A6E64" w:rsidP="00C1637A">
      <w:pPr>
        <w:pStyle w:val="IntenseQuote"/>
        <w:spacing w:line="276" w:lineRule="auto"/>
      </w:pPr>
      <w:r w:rsidRPr="00715210">
        <w:lastRenderedPageBreak/>
        <w:t>Shoreland/Landscape/Nonpoint Source</w:t>
      </w:r>
    </w:p>
    <w:p w14:paraId="281504FD" w14:textId="4074A3F2" w:rsidR="003A6E64" w:rsidRPr="007747B5" w:rsidRDefault="00777D10" w:rsidP="00C1637A">
      <w:pPr>
        <w:shd w:val="clear" w:color="auto" w:fill="FFFFFF" w:themeFill="background1"/>
        <w:spacing w:before="100" w:beforeAutospacing="1" w:after="100" w:afterAutospacing="1" w:line="276" w:lineRule="auto"/>
        <w:textAlignment w:val="baseline"/>
        <w:rPr>
          <w:rFonts w:eastAsia="Times New Roman" w:cs="Arial"/>
          <w:color w:val="000000"/>
          <w:kern w:val="0"/>
          <w14:ligatures w14:val="none"/>
        </w:rPr>
      </w:pPr>
      <w:r w:rsidRPr="007747B5">
        <w:rPr>
          <w:rFonts w:cs="Calibri"/>
        </w:rPr>
        <w:t xml:space="preserve">The political burden and cost of enforcing state regulations in shoreland </w:t>
      </w:r>
      <w:commentRangeStart w:id="66"/>
      <w:r w:rsidRPr="007747B5">
        <w:rPr>
          <w:rFonts w:cs="Calibri"/>
        </w:rPr>
        <w:t>areas</w:t>
      </w:r>
      <w:commentRangeEnd w:id="66"/>
      <w:r w:rsidR="005847AC" w:rsidRPr="007747B5">
        <w:rPr>
          <w:rStyle w:val="CommentReference"/>
          <w:rFonts w:cs="Calibri"/>
          <w:sz w:val="24"/>
          <w:szCs w:val="24"/>
        </w:rPr>
        <w:commentReference w:id="66"/>
      </w:r>
      <w:r w:rsidRPr="007747B5">
        <w:rPr>
          <w:rFonts w:cs="Calibri"/>
        </w:rPr>
        <w:t xml:space="preserve"> ultimately falls on local governments. Those governments change over time due to local political forces, which can directly impact enforcement consistency.</w:t>
      </w:r>
      <w:r w:rsidR="00901D7B" w:rsidRPr="007747B5">
        <w:rPr>
          <w:rFonts w:cs="Calibri"/>
        </w:rPr>
        <w:t xml:space="preserve"> It is also important to acknowledge that LGUs have limited enforcement capabilities. </w:t>
      </w:r>
      <w:r w:rsidR="007747B5">
        <w:rPr>
          <w:rFonts w:cs="Calibri"/>
        </w:rPr>
        <w:t>The Task Force recommends</w:t>
      </w:r>
      <w:r w:rsidR="00901D7B" w:rsidRPr="007747B5">
        <w:rPr>
          <w:rFonts w:cs="Calibri"/>
        </w:rPr>
        <w:t>:</w:t>
      </w:r>
    </w:p>
    <w:p w14:paraId="71AE2B47" w14:textId="275B10B1" w:rsidR="00BD4E4E" w:rsidRDefault="00EA7E00" w:rsidP="00BD4E4E">
      <w:pPr>
        <w:pStyle w:val="NoSpacing"/>
        <w:numPr>
          <w:ilvl w:val="0"/>
          <w:numId w:val="35"/>
        </w:numPr>
        <w:spacing w:line="276" w:lineRule="auto"/>
        <w:rPr>
          <w:rFonts w:cs="Calibri"/>
        </w:rPr>
      </w:pPr>
      <w:r w:rsidRPr="0002497C">
        <w:rPr>
          <w:rFonts w:cs="Calibri"/>
        </w:rPr>
        <w:t>Provide LGUs Equal and Practical Enforcement Tools</w:t>
      </w:r>
      <w:r w:rsidR="00843D35" w:rsidRPr="0002497C">
        <w:rPr>
          <w:rFonts w:cs="Calibri"/>
        </w:rPr>
        <w:t>.</w:t>
      </w:r>
      <w:r w:rsidR="00843D35" w:rsidRPr="00E471E6">
        <w:rPr>
          <w:rFonts w:cs="Calibri"/>
          <w:b/>
          <w:bCs/>
        </w:rPr>
        <w:t xml:space="preserve"> </w:t>
      </w:r>
      <w:r w:rsidR="00843D35" w:rsidRPr="00E471E6">
        <w:rPr>
          <w:rFonts w:cs="Calibri"/>
        </w:rPr>
        <w:t xml:space="preserve">Cities, operating under Minnesota Stat. 462 and broader municipal authority, often have the ability to adopt administrative (civil) citation processes. Counties generally do not have equivalent authority. If the state expects consistent enforcement of shoreland regulations, counties must be given equal and practical civil enforcement </w:t>
      </w:r>
      <w:r w:rsidR="008013AE" w:rsidRPr="00E471E6">
        <w:rPr>
          <w:rFonts w:cs="Calibri"/>
        </w:rPr>
        <w:t>authority.</w:t>
      </w:r>
    </w:p>
    <w:p w14:paraId="1AD680B1" w14:textId="77777777" w:rsidR="00BD4E4E" w:rsidRDefault="00BD4E4E" w:rsidP="00BD4E4E">
      <w:pPr>
        <w:pStyle w:val="NoSpacing"/>
        <w:spacing w:line="276" w:lineRule="auto"/>
        <w:ind w:left="720"/>
        <w:rPr>
          <w:rFonts w:cs="Calibri"/>
        </w:rPr>
      </w:pPr>
    </w:p>
    <w:p w14:paraId="614EADFE" w14:textId="0B677D68" w:rsidR="00BD4E4E" w:rsidRPr="00306FDF" w:rsidRDefault="00BD4E4E" w:rsidP="00BD4E4E">
      <w:pPr>
        <w:pStyle w:val="NoSpacing"/>
        <w:numPr>
          <w:ilvl w:val="0"/>
          <w:numId w:val="35"/>
        </w:numPr>
        <w:rPr>
          <w:color w:val="EE0000"/>
        </w:rPr>
      </w:pPr>
      <w:r w:rsidRPr="00306FDF">
        <w:rPr>
          <w:color w:val="EE0000"/>
        </w:rPr>
        <w:t xml:space="preserve">Local agency implementation </w:t>
      </w:r>
      <w:r w:rsidRPr="00306FDF">
        <w:rPr>
          <w:color w:val="EE0000"/>
        </w:rPr>
        <w:t>–</w:t>
      </w:r>
      <w:r w:rsidRPr="00306FDF">
        <w:rPr>
          <w:color w:val="EE0000"/>
        </w:rPr>
        <w:t xml:space="preserve"> </w:t>
      </w:r>
      <w:r w:rsidRPr="00306FDF">
        <w:rPr>
          <w:color w:val="EE0000"/>
        </w:rPr>
        <w:t xml:space="preserve">encourage and support </w:t>
      </w:r>
      <w:r w:rsidRPr="00306FDF">
        <w:rPr>
          <w:color w:val="EE0000"/>
        </w:rPr>
        <w:t>collaborative</w:t>
      </w:r>
      <w:r w:rsidR="006427A3" w:rsidRPr="00306FDF">
        <w:rPr>
          <w:color w:val="EE0000"/>
        </w:rPr>
        <w:t xml:space="preserve"> processes between LGUs</w:t>
      </w:r>
      <w:r w:rsidR="00C943B0" w:rsidRPr="00306FDF">
        <w:rPr>
          <w:color w:val="EE0000"/>
        </w:rPr>
        <w:t xml:space="preserve">, state agencies and stakeholders to leverage resources and </w:t>
      </w:r>
      <w:r w:rsidR="005C0D66" w:rsidRPr="00306FDF">
        <w:rPr>
          <w:color w:val="EE0000"/>
        </w:rPr>
        <w:t>enhance shared stewardship</w:t>
      </w:r>
    </w:p>
    <w:p w14:paraId="63AF67E7" w14:textId="77777777" w:rsidR="0002497C" w:rsidRPr="0002497C" w:rsidRDefault="0002497C" w:rsidP="00C1637A">
      <w:pPr>
        <w:pStyle w:val="NoSpacing"/>
        <w:spacing w:line="276" w:lineRule="auto"/>
        <w:ind w:left="720"/>
        <w:rPr>
          <w:rFonts w:cs="Calibri"/>
        </w:rPr>
      </w:pPr>
    </w:p>
    <w:p w14:paraId="7067253B" w14:textId="4A05989C" w:rsidR="00CC62B7" w:rsidRDefault="00704070" w:rsidP="00C1637A">
      <w:pPr>
        <w:pStyle w:val="NoSpacing"/>
        <w:numPr>
          <w:ilvl w:val="0"/>
          <w:numId w:val="35"/>
        </w:numPr>
        <w:spacing w:line="276" w:lineRule="auto"/>
        <w:rPr>
          <w:rFonts w:cs="Calibri"/>
        </w:rPr>
      </w:pPr>
      <w:r w:rsidRPr="0002497C">
        <w:rPr>
          <w:rFonts w:cs="Calibri"/>
        </w:rPr>
        <w:t>Structure Clearer State-Level Enforcement Support Within State Rules</w:t>
      </w:r>
      <w:r w:rsidR="00CC62B7" w:rsidRPr="0002497C">
        <w:rPr>
          <w:rFonts w:cs="Calibri"/>
        </w:rPr>
        <w:t>.</w:t>
      </w:r>
      <w:r w:rsidR="00CC62B7" w:rsidRPr="0002497C">
        <w:rPr>
          <w:rFonts w:cs="Calibri"/>
          <w:b/>
          <w:bCs/>
        </w:rPr>
        <w:t xml:space="preserve"> </w:t>
      </w:r>
      <w:r w:rsidR="00CC62B7" w:rsidRPr="0002497C">
        <w:rPr>
          <w:rFonts w:cs="Calibri"/>
        </w:rPr>
        <w:t>Under WCA, if a property owner fills a wetland without a permit, the LGU is not acting alone. Assistance comes from the Minnesota Board of Water and Soil Resources (BWSR), technical staff from the local Soil and Water Conservation District (SWCD), and depending on circumstances, support from the Minnesota Department of Natural Resources hydrologist or even a DNR Conservation Officer.</w:t>
      </w:r>
    </w:p>
    <w:p w14:paraId="6AB55833" w14:textId="77777777" w:rsidR="0002497C" w:rsidRPr="0002497C" w:rsidRDefault="0002497C" w:rsidP="00C1637A">
      <w:pPr>
        <w:pStyle w:val="NoSpacing"/>
        <w:spacing w:line="276" w:lineRule="auto"/>
        <w:rPr>
          <w:rFonts w:cs="Calibri"/>
        </w:rPr>
      </w:pPr>
    </w:p>
    <w:p w14:paraId="0370505E" w14:textId="26ABA7B6" w:rsidR="001F73EE" w:rsidRDefault="001F73EE" w:rsidP="00C1637A">
      <w:pPr>
        <w:pStyle w:val="NoSpacing"/>
        <w:numPr>
          <w:ilvl w:val="0"/>
          <w:numId w:val="35"/>
        </w:numPr>
        <w:spacing w:line="276" w:lineRule="auto"/>
        <w:rPr>
          <w:rFonts w:cs="Calibri"/>
        </w:rPr>
      </w:pPr>
      <w:r w:rsidRPr="0002497C">
        <w:rPr>
          <w:rFonts w:cs="Calibri"/>
        </w:rPr>
        <w:t>Amend Minnesota Rules 6120</w:t>
      </w:r>
      <w:r w:rsidRPr="00E471E6">
        <w:rPr>
          <w:rFonts w:cs="Calibri"/>
        </w:rPr>
        <w:t xml:space="preserve"> to establish clearer, step-by-step shoreland enforcement procedures, similar in structure to </w:t>
      </w:r>
      <w:r w:rsidR="004A733D">
        <w:rPr>
          <w:rFonts w:cs="Calibri"/>
        </w:rPr>
        <w:t xml:space="preserve">the </w:t>
      </w:r>
      <w:r w:rsidRPr="00E471E6">
        <w:rPr>
          <w:rFonts w:cs="Calibri"/>
        </w:rPr>
        <w:t>W</w:t>
      </w:r>
      <w:r w:rsidR="004A733D">
        <w:rPr>
          <w:rFonts w:cs="Calibri"/>
        </w:rPr>
        <w:t xml:space="preserve">etlands </w:t>
      </w:r>
      <w:r w:rsidRPr="00E471E6">
        <w:rPr>
          <w:rFonts w:cs="Calibri"/>
        </w:rPr>
        <w:t>C</w:t>
      </w:r>
      <w:r w:rsidR="004A733D">
        <w:rPr>
          <w:rFonts w:cs="Calibri"/>
        </w:rPr>
        <w:t xml:space="preserve">onservation </w:t>
      </w:r>
      <w:r w:rsidRPr="00E471E6">
        <w:rPr>
          <w:rFonts w:cs="Calibri"/>
        </w:rPr>
        <w:t>A</w:t>
      </w:r>
      <w:r w:rsidR="004A733D">
        <w:rPr>
          <w:rFonts w:cs="Calibri"/>
        </w:rPr>
        <w:t>ct</w:t>
      </w:r>
      <w:r w:rsidRPr="00E471E6">
        <w:rPr>
          <w:rFonts w:cs="Calibri"/>
        </w:rPr>
        <w:t>.</w:t>
      </w:r>
    </w:p>
    <w:p w14:paraId="7E56EAB5" w14:textId="77777777" w:rsidR="0002497C" w:rsidRPr="00E471E6" w:rsidRDefault="0002497C" w:rsidP="00C1637A">
      <w:pPr>
        <w:pStyle w:val="NoSpacing"/>
        <w:spacing w:line="276" w:lineRule="auto"/>
        <w:rPr>
          <w:rFonts w:cs="Calibri"/>
        </w:rPr>
      </w:pPr>
    </w:p>
    <w:p w14:paraId="60C40797" w14:textId="2C5206C5" w:rsidR="003150EE" w:rsidRDefault="001F73EE" w:rsidP="00C1637A">
      <w:pPr>
        <w:pStyle w:val="NoSpacing"/>
        <w:numPr>
          <w:ilvl w:val="0"/>
          <w:numId w:val="35"/>
        </w:numPr>
        <w:spacing w:line="276" w:lineRule="auto"/>
        <w:rPr>
          <w:rFonts w:cs="Calibri"/>
        </w:rPr>
      </w:pPr>
      <w:r w:rsidRPr="0002497C">
        <w:rPr>
          <w:rFonts w:cs="Calibri"/>
        </w:rPr>
        <w:t>Provide counties with clear statutory civil enforcement authority</w:t>
      </w:r>
      <w:r w:rsidRPr="00E471E6">
        <w:rPr>
          <w:rFonts w:cs="Calibri"/>
        </w:rPr>
        <w:t xml:space="preserve"> comparable to municipal administrative citation authority.</w:t>
      </w:r>
    </w:p>
    <w:p w14:paraId="185001E1" w14:textId="77777777" w:rsidR="003150EE" w:rsidRPr="003150EE" w:rsidRDefault="003150EE" w:rsidP="00C1637A">
      <w:pPr>
        <w:pStyle w:val="NoSpacing"/>
        <w:spacing w:line="276" w:lineRule="auto"/>
        <w:rPr>
          <w:rFonts w:cs="Calibri"/>
        </w:rPr>
      </w:pPr>
    </w:p>
    <w:p w14:paraId="611588F2" w14:textId="74D470C8" w:rsidR="001F73EE" w:rsidRDefault="001F73EE" w:rsidP="00C1637A">
      <w:pPr>
        <w:pStyle w:val="NoSpacing"/>
        <w:numPr>
          <w:ilvl w:val="0"/>
          <w:numId w:val="35"/>
        </w:numPr>
        <w:spacing w:line="276" w:lineRule="auto"/>
        <w:rPr>
          <w:rFonts w:cs="Calibri"/>
        </w:rPr>
      </w:pPr>
      <w:r w:rsidRPr="0002497C">
        <w:rPr>
          <w:rFonts w:cs="Calibri"/>
        </w:rPr>
        <w:t>Formalize multi-agency support roles</w:t>
      </w:r>
      <w:r w:rsidRPr="00E471E6">
        <w:rPr>
          <w:rFonts w:cs="Calibri"/>
        </w:rPr>
        <w:t xml:space="preserve"> in shoreland violations, including defined technical and compliance roles for SWCDs and DNR staff.</w:t>
      </w:r>
    </w:p>
    <w:p w14:paraId="5A3315B4" w14:textId="77777777" w:rsidR="003150EE" w:rsidRPr="00E471E6" w:rsidRDefault="003150EE" w:rsidP="00C1637A">
      <w:pPr>
        <w:pStyle w:val="NoSpacing"/>
        <w:spacing w:line="276" w:lineRule="auto"/>
        <w:rPr>
          <w:rFonts w:cs="Calibri"/>
        </w:rPr>
      </w:pPr>
    </w:p>
    <w:p w14:paraId="198938EF" w14:textId="75D5D5CB" w:rsidR="003150EE" w:rsidRPr="004A733D" w:rsidRDefault="001F73EE" w:rsidP="00C1637A">
      <w:pPr>
        <w:pStyle w:val="NoSpacing"/>
        <w:numPr>
          <w:ilvl w:val="0"/>
          <w:numId w:val="35"/>
        </w:numPr>
        <w:spacing w:line="276" w:lineRule="auto"/>
        <w:rPr>
          <w:rFonts w:cs="Calibri"/>
        </w:rPr>
      </w:pPr>
      <w:r w:rsidRPr="0002497C">
        <w:rPr>
          <w:rFonts w:cs="Calibri"/>
        </w:rPr>
        <w:t>Provide dedicated funding</w:t>
      </w:r>
      <w:r w:rsidRPr="00E471E6">
        <w:rPr>
          <w:rFonts w:cs="Calibri"/>
        </w:rPr>
        <w:t xml:space="preserve"> to LGUs and SWCDs for enforcement and restoration oversight so that the administrative burden does not disproportionately shift to local governments without resources.</w:t>
      </w:r>
    </w:p>
    <w:p w14:paraId="04269DAD" w14:textId="77777777" w:rsidR="003150EE" w:rsidRPr="00E471E6" w:rsidRDefault="003150EE" w:rsidP="00C1637A">
      <w:pPr>
        <w:pStyle w:val="NoSpacing"/>
        <w:spacing w:line="276" w:lineRule="auto"/>
        <w:rPr>
          <w:rFonts w:cs="Calibri"/>
        </w:rPr>
      </w:pPr>
    </w:p>
    <w:p w14:paraId="656A6C21" w14:textId="1A5428CE" w:rsidR="000D0B81" w:rsidRDefault="001F73EE" w:rsidP="00C1637A">
      <w:pPr>
        <w:pStyle w:val="NoSpacing"/>
        <w:numPr>
          <w:ilvl w:val="0"/>
          <w:numId w:val="35"/>
        </w:numPr>
        <w:spacing w:line="276" w:lineRule="auto"/>
        <w:rPr>
          <w:rFonts w:cs="Calibri"/>
        </w:rPr>
      </w:pPr>
      <w:r w:rsidRPr="0002497C">
        <w:rPr>
          <w:rFonts w:cs="Calibri"/>
        </w:rPr>
        <w:t>Standardize state technical assistance</w:t>
      </w:r>
      <w:r w:rsidRPr="00E471E6">
        <w:rPr>
          <w:rFonts w:cs="Calibri"/>
          <w:b/>
          <w:bCs/>
        </w:rPr>
        <w:t xml:space="preserve"> </w:t>
      </w:r>
      <w:r w:rsidRPr="00E471E6">
        <w:rPr>
          <w:rFonts w:cs="Calibri"/>
        </w:rPr>
        <w:t>expectations across agencies to reduce variation in LGU support.</w:t>
      </w:r>
      <w:r w:rsidR="000D0B81" w:rsidRPr="00E471E6">
        <w:rPr>
          <w:rFonts w:cs="Calibri"/>
        </w:rPr>
        <w:t xml:space="preserve"> </w:t>
      </w:r>
    </w:p>
    <w:p w14:paraId="528D85D5" w14:textId="2777D0B2" w:rsidR="003150EE" w:rsidRPr="00E471E6" w:rsidRDefault="003150EE" w:rsidP="00C1637A">
      <w:pPr>
        <w:pStyle w:val="NoSpacing"/>
        <w:spacing w:line="276" w:lineRule="auto"/>
        <w:rPr>
          <w:rFonts w:cs="Calibri"/>
        </w:rPr>
      </w:pPr>
    </w:p>
    <w:p w14:paraId="3EC3250D" w14:textId="2D431CFB" w:rsidR="000D0B81" w:rsidRDefault="000D0B81" w:rsidP="00C1637A">
      <w:pPr>
        <w:pStyle w:val="NoSpacing"/>
        <w:numPr>
          <w:ilvl w:val="0"/>
          <w:numId w:val="35"/>
        </w:numPr>
        <w:spacing w:line="276" w:lineRule="auto"/>
        <w:rPr>
          <w:rFonts w:cs="Calibri"/>
        </w:rPr>
      </w:pPr>
      <w:r w:rsidRPr="00E471E6">
        <w:rPr>
          <w:rFonts w:cs="Calibri"/>
        </w:rPr>
        <w:t xml:space="preserve">Modernize and reinforce shoreland protection standards to prioritize ecosystem function, climate resilience, and water quality outcomes, while supporting consistent local implementation. Adopt shoreland enforcement procedures to model after WCA and provide financial support to SWCDs and local governments to carry out these important regulations. </w:t>
      </w:r>
    </w:p>
    <w:p w14:paraId="17DE5900" w14:textId="77777777" w:rsidR="00B9137C" w:rsidRDefault="00B9137C" w:rsidP="00B9137C">
      <w:pPr>
        <w:pStyle w:val="ListParagraph"/>
        <w:rPr>
          <w:rFonts w:cs="Calibri"/>
        </w:rPr>
      </w:pPr>
    </w:p>
    <w:p w14:paraId="7588B03F" w14:textId="57598AE2" w:rsidR="00B9137C" w:rsidRPr="005B08BE" w:rsidRDefault="005B08BE" w:rsidP="005B08BE">
      <w:pPr>
        <w:pStyle w:val="NoSpacing"/>
        <w:numPr>
          <w:ilvl w:val="0"/>
          <w:numId w:val="35"/>
        </w:numPr>
        <w:spacing w:line="276" w:lineRule="auto"/>
        <w:rPr>
          <w:rFonts w:cs="Calibri"/>
        </w:rPr>
      </w:pPr>
      <w:r w:rsidRPr="005B08BE">
        <w:rPr>
          <w:rFonts w:cs="Calibri"/>
        </w:rPr>
        <w:t xml:space="preserve">Expand incentives and technical assistance for shoreline restoration and maintenance of native vegetation, building </w:t>
      </w:r>
      <w:r w:rsidR="00D10FF1">
        <w:rPr>
          <w:rFonts w:cs="Calibri"/>
        </w:rPr>
        <w:t>up</w:t>
      </w:r>
      <w:r w:rsidRPr="005B08BE">
        <w:rPr>
          <w:rFonts w:cs="Calibri"/>
        </w:rPr>
        <w:t xml:space="preserve">on existing cost-share and demonstration programs. Incentives should prioritize lakes and river reaches identified as high-risk for erosion, nutrient </w:t>
      </w:r>
      <w:commentRangeStart w:id="67"/>
      <w:r w:rsidRPr="005B08BE">
        <w:rPr>
          <w:rFonts w:cs="Calibri"/>
        </w:rPr>
        <w:t>loading</w:t>
      </w:r>
      <w:commentRangeEnd w:id="67"/>
      <w:r w:rsidR="002F58B2" w:rsidRPr="005B08BE">
        <w:rPr>
          <w:rStyle w:val="CommentReference"/>
          <w:rFonts w:cs="Calibri"/>
          <w:sz w:val="24"/>
          <w:szCs w:val="24"/>
        </w:rPr>
        <w:commentReference w:id="67"/>
      </w:r>
      <w:r w:rsidRPr="005B08BE">
        <w:rPr>
          <w:rFonts w:cs="Calibri"/>
        </w:rPr>
        <w:t>, or habitat loss. Provide consistent direction on what approach to use when evaluating shorelines (Score your shore</w:t>
      </w:r>
      <w:r w:rsidRPr="005B08BE">
        <w:rPr>
          <w:rStyle w:val="FootnoteReference"/>
          <w:rFonts w:cs="Calibri"/>
        </w:rPr>
        <w:footnoteReference w:id="1"/>
      </w:r>
      <w:r w:rsidRPr="005B08BE">
        <w:rPr>
          <w:rFonts w:cs="Calibri"/>
        </w:rPr>
        <w:t xml:space="preserve"> vs. Restore your shore</w:t>
      </w:r>
      <w:r w:rsidRPr="005B08BE">
        <w:rPr>
          <w:rStyle w:val="FootnoteReference"/>
          <w:rFonts w:cs="Calibri"/>
        </w:rPr>
        <w:footnoteReference w:id="2"/>
      </w:r>
      <w:r w:rsidRPr="005B08BE">
        <w:rPr>
          <w:rFonts w:cs="Calibri"/>
        </w:rPr>
        <w:t xml:space="preserve">). </w:t>
      </w:r>
    </w:p>
    <w:p w14:paraId="0530C158" w14:textId="77777777" w:rsidR="003150EE" w:rsidRPr="00C1637A" w:rsidRDefault="003150EE" w:rsidP="00C1637A">
      <w:pPr>
        <w:spacing w:line="276" w:lineRule="auto"/>
        <w:rPr>
          <w:rFonts w:cs="Calibri"/>
        </w:rPr>
      </w:pPr>
    </w:p>
    <w:p w14:paraId="0230431D" w14:textId="7FCEBC51" w:rsidR="00357E50" w:rsidRDefault="002A4C2B" w:rsidP="00C1637A">
      <w:pPr>
        <w:pStyle w:val="NoSpacing"/>
        <w:numPr>
          <w:ilvl w:val="0"/>
          <w:numId w:val="35"/>
        </w:numPr>
        <w:spacing w:line="276" w:lineRule="auto"/>
        <w:rPr>
          <w:rFonts w:cs="Calibri"/>
        </w:rPr>
      </w:pPr>
      <w:r w:rsidRPr="003150EE">
        <w:rPr>
          <w:rFonts w:cs="Calibri"/>
        </w:rPr>
        <w:t>Reduce uneven protection by strengthening alignment across state, local, watershed, and tribal permitting and enforcement systems.</w:t>
      </w:r>
    </w:p>
    <w:p w14:paraId="39D3FEDB" w14:textId="77777777" w:rsidR="003150EE" w:rsidRDefault="003150EE" w:rsidP="003150EE">
      <w:pPr>
        <w:pStyle w:val="ListParagraph"/>
        <w:rPr>
          <w:rFonts w:cs="Calibri"/>
        </w:rPr>
      </w:pPr>
    </w:p>
    <w:p w14:paraId="0B77C1DA" w14:textId="3594743C" w:rsidR="00DF2F84" w:rsidRDefault="00924C7E" w:rsidP="005D7C9E">
      <w:pPr>
        <w:pStyle w:val="NoSpacing"/>
        <w:numPr>
          <w:ilvl w:val="0"/>
          <w:numId w:val="35"/>
        </w:numPr>
        <w:spacing w:line="276" w:lineRule="auto"/>
        <w:rPr>
          <w:rFonts w:cs="Calibri"/>
        </w:rPr>
      </w:pPr>
      <w:r w:rsidRPr="003150EE">
        <w:rPr>
          <w:rFonts w:cs="Calibri"/>
        </w:rPr>
        <w:t>Manage Recreational Pressures to Protect Water Quality and Habitat; balance Minnesota’s strong recreation economy with proactive measures that protect sensitive waters and nearshore ecosystems.</w:t>
      </w:r>
      <w:r w:rsidR="00E96FFB">
        <w:rPr>
          <w:rFonts w:cs="Calibri"/>
        </w:rPr>
        <w:t xml:space="preserve"> Specifically, the Task Force</w:t>
      </w:r>
      <w:r w:rsidR="002B78FD">
        <w:rPr>
          <w:rFonts w:cs="Calibri"/>
        </w:rPr>
        <w:t xml:space="preserve"> recommends </w:t>
      </w:r>
      <w:r w:rsidR="000B2451">
        <w:rPr>
          <w:rFonts w:cs="Calibri"/>
        </w:rPr>
        <w:t>establishing</w:t>
      </w:r>
      <w:r w:rsidR="002B78FD">
        <w:rPr>
          <w:rFonts w:cs="Calibri"/>
        </w:rPr>
        <w:t xml:space="preserve"> regulations on the operation of wake boats </w:t>
      </w:r>
      <w:r w:rsidR="00606C51">
        <w:rPr>
          <w:rFonts w:cs="Calibri"/>
        </w:rPr>
        <w:t>t</w:t>
      </w:r>
      <w:r w:rsidR="0006417E">
        <w:rPr>
          <w:rFonts w:cs="Calibri"/>
        </w:rPr>
        <w:t>hat</w:t>
      </w:r>
      <w:r w:rsidR="00606C51">
        <w:rPr>
          <w:rFonts w:cs="Calibri"/>
        </w:rPr>
        <w:t xml:space="preserve"> require operating in deeper water and farther from shorelines to reduce sediment resuspension and habitat disturbance.</w:t>
      </w:r>
      <w:r w:rsidR="0006417E">
        <w:rPr>
          <w:rFonts w:cs="Calibri"/>
        </w:rPr>
        <w:t xml:space="preserve"> </w:t>
      </w:r>
      <w:r w:rsidR="00DF2F84" w:rsidRPr="005D7C9E">
        <w:rPr>
          <w:rFonts w:cs="Calibri"/>
        </w:rPr>
        <w:t>Enhanced integration of recreation-related data into statewide monitoring systems, coupled with localized management tools such as depth-based “wake-safe” guidance, can help inform policies that balance Minnesota’s rich tradition of water-based recreation with long-term protection of water quality and shoreline ecosystems.</w:t>
      </w:r>
    </w:p>
    <w:p w14:paraId="0A4DE4F8" w14:textId="77777777" w:rsidR="00663607" w:rsidRDefault="00663607" w:rsidP="00663607">
      <w:pPr>
        <w:pStyle w:val="ListParagraph"/>
        <w:rPr>
          <w:rFonts w:cs="Calibri"/>
        </w:rPr>
      </w:pPr>
    </w:p>
    <w:p w14:paraId="074E15B8" w14:textId="5EDA999D" w:rsidR="00DE5423" w:rsidRPr="00777125" w:rsidRDefault="00777125" w:rsidP="00777125">
      <w:pPr>
        <w:pStyle w:val="NoSpacing"/>
        <w:numPr>
          <w:ilvl w:val="0"/>
          <w:numId w:val="35"/>
        </w:numPr>
        <w:spacing w:line="276" w:lineRule="auto"/>
        <w:rPr>
          <w:rFonts w:cs="Calibri"/>
        </w:rPr>
      </w:pPr>
      <w:r>
        <w:rPr>
          <w:rFonts w:cs="Calibri"/>
        </w:rPr>
        <w:t xml:space="preserve">Run incentives in the right direction: </w:t>
      </w:r>
      <w:r w:rsidRPr="007344DC">
        <w:rPr>
          <w:rFonts w:eastAsia="Times New Roman" w:cs="Times New Roman"/>
          <w:kern w:val="0"/>
          <w14:ligatures w14:val="none"/>
        </w:rPr>
        <w:t>some county assessors value shoreland higher when the shoreline is more intensively developed, essentially the opposite of what shoreland regulations are intended to promote.</w:t>
      </w:r>
      <w:r>
        <w:rPr>
          <w:rFonts w:cs="Calibri"/>
        </w:rPr>
        <w:t xml:space="preserve"> </w:t>
      </w:r>
      <w:r w:rsidR="00F91367">
        <w:rPr>
          <w:rFonts w:cs="Calibri"/>
        </w:rPr>
        <w:t xml:space="preserve">The Task Force recommends that </w:t>
      </w:r>
      <w:r w:rsidR="00F91367">
        <w:rPr>
          <w:rFonts w:cs="Calibri"/>
        </w:rPr>
        <w:lastRenderedPageBreak/>
        <w:t>Minnesota county assessors l</w:t>
      </w:r>
      <w:r w:rsidR="00663607" w:rsidRPr="00777125">
        <w:rPr>
          <w:rFonts w:cs="Calibri"/>
        </w:rPr>
        <w:t xml:space="preserve">ink water protection to fiscal resilience, highlighting connections to tourism, tax base stability, and long-term public costs. Work with County Assessors to </w:t>
      </w:r>
      <w:r w:rsidR="00DE5423" w:rsidRPr="00777125">
        <w:rPr>
          <w:rFonts w:cs="Calibri"/>
        </w:rPr>
        <w:t>consider</w:t>
      </w:r>
      <w:r w:rsidR="00663607" w:rsidRPr="00777125">
        <w:rPr>
          <w:rFonts w:cs="Calibri"/>
        </w:rPr>
        <w:t xml:space="preserve"> how recognizing higher quality shorelines can be financially beneficial to shoreland owners given the ecosystem service calculation.</w:t>
      </w:r>
      <w:r w:rsidR="002B3552" w:rsidRPr="00777125">
        <w:rPr>
          <w:rFonts w:cs="Calibri"/>
        </w:rPr>
        <w:t xml:space="preserve"> Example:</w:t>
      </w:r>
      <w:r w:rsidR="002B3552" w:rsidRPr="00777125">
        <w:rPr>
          <w:rFonts w:ascii="Calibri" w:hAnsi="Calibri" w:cs="Calibri"/>
        </w:rPr>
        <w:t xml:space="preserve"> </w:t>
      </w:r>
      <w:r w:rsidR="00DE5423" w:rsidRPr="00777125">
        <w:rPr>
          <w:rStyle w:val="cf01"/>
          <w:rFonts w:asciiTheme="minorHAnsi" w:hAnsiTheme="minorHAnsi"/>
          <w:sz w:val="24"/>
          <w:szCs w:val="24"/>
        </w:rPr>
        <w:t>Burnett County</w:t>
      </w:r>
      <w:r w:rsidR="00725449" w:rsidRPr="00777125">
        <w:rPr>
          <w:rStyle w:val="cf01"/>
          <w:rFonts w:asciiTheme="minorHAnsi" w:hAnsiTheme="minorHAnsi"/>
          <w:sz w:val="24"/>
          <w:szCs w:val="24"/>
        </w:rPr>
        <w:t xml:space="preserve">, </w:t>
      </w:r>
      <w:r w:rsidR="00DE5423" w:rsidRPr="00777125">
        <w:rPr>
          <w:rStyle w:val="cf01"/>
          <w:rFonts w:asciiTheme="minorHAnsi" w:hAnsiTheme="minorHAnsi"/>
          <w:sz w:val="24"/>
          <w:szCs w:val="24"/>
        </w:rPr>
        <w:t xml:space="preserve">Wisconsin </w:t>
      </w:r>
      <w:r w:rsidR="00725449" w:rsidRPr="00777125">
        <w:rPr>
          <w:rStyle w:val="cf01"/>
          <w:rFonts w:asciiTheme="minorHAnsi" w:hAnsiTheme="minorHAnsi"/>
          <w:sz w:val="24"/>
          <w:szCs w:val="24"/>
        </w:rPr>
        <w:t>has implemented</w:t>
      </w:r>
      <w:r w:rsidR="00DE5423" w:rsidRPr="00777125">
        <w:rPr>
          <w:rStyle w:val="cf01"/>
          <w:rFonts w:asciiTheme="minorHAnsi" w:hAnsiTheme="minorHAnsi"/>
          <w:sz w:val="24"/>
          <w:szCs w:val="24"/>
        </w:rPr>
        <w:t xml:space="preserve"> an incentive program over the last 15-20 years to reward landowners who retain 75% of their shoreland in native vegetation. The incentive is $250 to enroll in the program and $50 per year annual incentive. The </w:t>
      </w:r>
      <w:r w:rsidR="00744C2B" w:rsidRPr="00777125">
        <w:rPr>
          <w:rStyle w:val="cf01"/>
          <w:rFonts w:asciiTheme="minorHAnsi" w:hAnsiTheme="minorHAnsi"/>
          <w:sz w:val="24"/>
          <w:szCs w:val="24"/>
        </w:rPr>
        <w:t xml:space="preserve">level of </w:t>
      </w:r>
      <w:r w:rsidR="00DE5423" w:rsidRPr="00777125">
        <w:rPr>
          <w:rStyle w:val="cf01"/>
          <w:rFonts w:asciiTheme="minorHAnsi" w:hAnsiTheme="minorHAnsi"/>
          <w:sz w:val="24"/>
          <w:szCs w:val="24"/>
        </w:rPr>
        <w:t xml:space="preserve">participation they get </w:t>
      </w:r>
      <w:r w:rsidR="00725449" w:rsidRPr="00777125">
        <w:rPr>
          <w:rStyle w:val="cf01"/>
          <w:rFonts w:asciiTheme="minorHAnsi" w:hAnsiTheme="minorHAnsi"/>
          <w:sz w:val="24"/>
          <w:szCs w:val="24"/>
        </w:rPr>
        <w:t>despite</w:t>
      </w:r>
      <w:r w:rsidR="00DE5423" w:rsidRPr="00777125">
        <w:rPr>
          <w:rStyle w:val="cf01"/>
          <w:rFonts w:asciiTheme="minorHAnsi" w:hAnsiTheme="minorHAnsi"/>
          <w:sz w:val="24"/>
          <w:szCs w:val="24"/>
        </w:rPr>
        <w:t xml:space="preserve"> that minimal incentive is </w:t>
      </w:r>
      <w:r w:rsidR="00744C2B" w:rsidRPr="00777125">
        <w:rPr>
          <w:rStyle w:val="cf01"/>
          <w:rFonts w:asciiTheme="minorHAnsi" w:hAnsiTheme="minorHAnsi"/>
          <w:sz w:val="24"/>
          <w:szCs w:val="24"/>
        </w:rPr>
        <w:t>impressive</w:t>
      </w:r>
      <w:r w:rsidR="00DE5423" w:rsidRPr="00777125">
        <w:rPr>
          <w:rStyle w:val="cf01"/>
          <w:rFonts w:asciiTheme="minorHAnsi" w:hAnsiTheme="minorHAnsi"/>
          <w:sz w:val="24"/>
          <w:szCs w:val="24"/>
        </w:rPr>
        <w:t xml:space="preserve">. Because of the value that lakes provide to all Minnesotans, a general fund revenue source could be distributed to counties to implement the same system statewide. </w:t>
      </w:r>
      <w:hyperlink r:id="rId18" w:history="1">
        <w:r w:rsidR="00DE5423" w:rsidRPr="00777125">
          <w:rPr>
            <w:rStyle w:val="cf01"/>
            <w:rFonts w:asciiTheme="minorHAnsi" w:hAnsiTheme="minorHAnsi"/>
            <w:color w:val="0000FF"/>
            <w:sz w:val="24"/>
            <w:szCs w:val="24"/>
            <w:u w:val="single"/>
          </w:rPr>
          <w:t>https://www.burnettcountywi.gov/235/Shoreline-Protection</w:t>
        </w:r>
      </w:hyperlink>
    </w:p>
    <w:p w14:paraId="54789CD6" w14:textId="77777777" w:rsidR="007344DC" w:rsidRPr="00DE5423" w:rsidRDefault="007344DC" w:rsidP="007344DC">
      <w:pPr>
        <w:pStyle w:val="NoSpacing"/>
        <w:spacing w:line="276" w:lineRule="auto"/>
        <w:rPr>
          <w:rFonts w:cs="Calibri"/>
        </w:rPr>
      </w:pPr>
    </w:p>
    <w:p w14:paraId="3EC589AC" w14:textId="3226918A" w:rsidR="00F53296" w:rsidRDefault="0077203E" w:rsidP="008F67CB">
      <w:pPr>
        <w:rPr>
          <w:rFonts w:ascii="Calibri" w:hAnsi="Calibri" w:cs="Calibri"/>
        </w:rPr>
      </w:pPr>
      <w:r>
        <w:rPr>
          <w:rFonts w:ascii="Calibri" w:hAnsi="Calibri" w:cs="Calibri"/>
          <w:color w:val="EE0000"/>
        </w:rPr>
        <w:t>Consider adding</w:t>
      </w:r>
      <w:r w:rsidR="00C903FD">
        <w:rPr>
          <w:rFonts w:ascii="Calibri" w:hAnsi="Calibri" w:cs="Calibri"/>
          <w:color w:val="EE0000"/>
        </w:rPr>
        <w:t xml:space="preserve"> a recommendation supporting continued technical, financial and monitoring resources to </w:t>
      </w:r>
      <w:r w:rsidR="0095517C">
        <w:rPr>
          <w:rFonts w:ascii="Calibri" w:hAnsi="Calibri" w:cs="Calibri"/>
          <w:color w:val="EE0000"/>
        </w:rPr>
        <w:t xml:space="preserve">prevent/mitigate spread of aquatic invasive </w:t>
      </w:r>
      <w:commentRangeStart w:id="68"/>
      <w:r w:rsidR="0095517C">
        <w:rPr>
          <w:rFonts w:ascii="Calibri" w:hAnsi="Calibri" w:cs="Calibri"/>
          <w:color w:val="EE0000"/>
        </w:rPr>
        <w:t>species</w:t>
      </w:r>
      <w:commentRangeEnd w:id="68"/>
      <w:r w:rsidR="00BE39EE">
        <w:rPr>
          <w:rStyle w:val="CommentReference"/>
          <w:rFonts w:ascii="Calibri" w:hAnsi="Calibri" w:cs="Calibri"/>
          <w:sz w:val="24"/>
          <w:szCs w:val="24"/>
        </w:rPr>
        <w:commentReference w:id="68"/>
      </w:r>
      <w:r w:rsidR="008F67CB">
        <w:rPr>
          <w:rFonts w:ascii="Calibri" w:hAnsi="Calibri" w:cs="Calibri"/>
        </w:rPr>
        <w:br w:type="page"/>
      </w:r>
    </w:p>
    <w:p w14:paraId="012A6EC1" w14:textId="38DDE86A" w:rsidR="00B47A20" w:rsidRPr="00D5733C" w:rsidRDefault="005818CA" w:rsidP="00D5733C">
      <w:pPr>
        <w:pStyle w:val="IntenseQuote"/>
      </w:pPr>
      <w:r w:rsidRPr="00D5733C">
        <w:lastRenderedPageBreak/>
        <w:t>Regulatory/Enforcement Consistency</w:t>
      </w:r>
      <w:r w:rsidR="00D5733C">
        <w:t>/Water Governance</w:t>
      </w:r>
    </w:p>
    <w:p w14:paraId="70ECB280" w14:textId="7E5CFFCE" w:rsidR="00FD039C" w:rsidRDefault="00FD039C" w:rsidP="001968C4">
      <w:pPr>
        <w:shd w:val="clear" w:color="auto" w:fill="FFFFFF"/>
        <w:spacing w:before="100" w:beforeAutospacing="1" w:after="100" w:afterAutospacing="1" w:line="276" w:lineRule="auto"/>
        <w:textAlignment w:val="baseline"/>
      </w:pPr>
      <w:r>
        <w:t>E</w:t>
      </w:r>
      <w:r w:rsidRPr="00FD039C">
        <w:t xml:space="preserve">ffective governance structures are essential for managing water resources sustainably. In Minnesota, all lakes, rivers, ponds, wetlands, streams, ditches, springs, and </w:t>
      </w:r>
      <w:r>
        <w:t>groundwater aquifers</w:t>
      </w:r>
      <w:r w:rsidRPr="00FD039C">
        <w:t xml:space="preserve"> are public resources. The regulation of water happens at the federal, state, and local levels, and </w:t>
      </w:r>
      <w:r w:rsidR="001968C4">
        <w:t>with</w:t>
      </w:r>
      <w:r w:rsidRPr="00FD039C">
        <w:t xml:space="preserve">in tribal nations. </w:t>
      </w:r>
      <w:r w:rsidR="001968C4">
        <w:t>This complex regulatory interplay in Minnesota features eight federal agencies, six state agencies, and hundreds of local and regional entities, including county, township, city, and tribal governments, watershed districts, soil and water conservation districts, municipal utilities, public works departments, joint boards and collaboratives, and regional entities, such as the Metropolitan Council. This task force has engaged and interacted with the following state agencies around their primary water resource-related responsibilities:</w:t>
      </w:r>
      <w:r w:rsidR="00C1408D">
        <w:t xml:space="preserve"> MN Department of Agriculture, MN Department of Health, MN Department of Natural Resources, MN Pollution Control Agency, Board of Water and Soil Resources, and </w:t>
      </w:r>
      <w:r w:rsidR="002210C5">
        <w:t xml:space="preserve">the </w:t>
      </w:r>
      <w:r w:rsidR="00C1408D">
        <w:t xml:space="preserve">Environmental Quality </w:t>
      </w:r>
      <w:commentRangeStart w:id="69"/>
      <w:r w:rsidR="00C1408D">
        <w:t>Board</w:t>
      </w:r>
      <w:commentRangeEnd w:id="69"/>
      <w:r w:rsidR="00490BCC">
        <w:rPr>
          <w:rStyle w:val="CommentReference"/>
          <w:sz w:val="24"/>
          <w:szCs w:val="24"/>
        </w:rPr>
        <w:commentReference w:id="69"/>
      </w:r>
      <w:r w:rsidR="00C1408D">
        <w:t>.</w:t>
      </w:r>
    </w:p>
    <w:p w14:paraId="42478E63" w14:textId="79350B9E" w:rsidR="00922AF1" w:rsidRDefault="004005B1" w:rsidP="0029499D">
      <w:r w:rsidRPr="004005B1">
        <w:t xml:space="preserve">Water governance – the development of policies, standards, and regulatory oversight - in Minnesota </w:t>
      </w:r>
      <w:r w:rsidR="003114F7">
        <w:rPr>
          <w:color w:val="EE0000"/>
        </w:rPr>
        <w:t>can be</w:t>
      </w:r>
      <w:r w:rsidRPr="003114F7">
        <w:rPr>
          <w:color w:val="EE0000"/>
        </w:rPr>
        <w:t xml:space="preserve"> </w:t>
      </w:r>
      <w:r w:rsidRPr="004005B1">
        <w:t xml:space="preserve">fragmented and reactive rather than proactive (responding to a specific need). It has </w:t>
      </w:r>
      <w:r w:rsidR="0052031C">
        <w:rPr>
          <w:color w:val="EE0000"/>
        </w:rPr>
        <w:t xml:space="preserve">at times </w:t>
      </w:r>
      <w:r w:rsidRPr="004005B1">
        <w:t xml:space="preserve">been evolutionary rather than visionary (one specific policy at a time rather than policy developed to meet overarching </w:t>
      </w:r>
      <w:commentRangeStart w:id="70"/>
      <w:r w:rsidRPr="004005B1">
        <w:t>goals</w:t>
      </w:r>
      <w:commentRangeEnd w:id="70"/>
      <w:r w:rsidR="00BF4D66" w:rsidRPr="004005B1">
        <w:rPr>
          <w:rStyle w:val="CommentReference"/>
          <w:sz w:val="24"/>
          <w:szCs w:val="24"/>
        </w:rPr>
        <w:commentReference w:id="70"/>
      </w:r>
      <w:r w:rsidRPr="004005B1">
        <w:t xml:space="preserve">). </w:t>
      </w:r>
      <w:r>
        <w:t>Water resource-related goals</w:t>
      </w:r>
      <w:r w:rsidRPr="004005B1">
        <w:t xml:space="preserve"> and objectives sometimes conflict within and among agencies. Water governance </w:t>
      </w:r>
      <w:r w:rsidR="0052031C">
        <w:rPr>
          <w:color w:val="EE0000"/>
        </w:rPr>
        <w:t>is often</w:t>
      </w:r>
      <w:r w:rsidRPr="004005B1">
        <w:t xml:space="preserve"> driven by specific issues, problems, and special interests followed by a reaction from the Legislature, which </w:t>
      </w:r>
      <w:r w:rsidR="004063A4">
        <w:t xml:space="preserve">currently </w:t>
      </w:r>
      <w:r w:rsidRPr="004005B1">
        <w:t xml:space="preserve">has no group with a long-term dedication to water </w:t>
      </w:r>
      <w:commentRangeStart w:id="71"/>
      <w:r w:rsidRPr="004005B1">
        <w:t>policy</w:t>
      </w:r>
      <w:commentRangeEnd w:id="71"/>
      <w:r w:rsidR="00817695" w:rsidRPr="004005B1">
        <w:rPr>
          <w:rStyle w:val="CommentReference"/>
          <w:sz w:val="24"/>
          <w:szCs w:val="24"/>
        </w:rPr>
        <w:commentReference w:id="71"/>
      </w:r>
      <w:r w:rsidRPr="004005B1">
        <w:t>.</w:t>
      </w:r>
    </w:p>
    <w:p w14:paraId="5B78BF88" w14:textId="2B987E04" w:rsidR="004005B1" w:rsidRDefault="004005B1" w:rsidP="000322E2">
      <w:pPr>
        <w:pStyle w:val="NoSpacing"/>
        <w:spacing w:line="276" w:lineRule="auto"/>
      </w:pPr>
      <w:r w:rsidRPr="004005B1">
        <w:t xml:space="preserve"> There has been little comprehensive assessment and strategic intent to protect and manage Minnesota’s waters, with the exception of the Clean Water Legacy Act</w:t>
      </w:r>
      <w:r w:rsidR="000322E2">
        <w:t xml:space="preserve"> (and the formation of the Clean Water Fund Interagency Coordinating Team)</w:t>
      </w:r>
      <w:r w:rsidRPr="004005B1">
        <w:t>, for which the tax it generates expires in 2034.</w:t>
      </w:r>
      <w:r w:rsidR="00922AF1">
        <w:t xml:space="preserve"> </w:t>
      </w:r>
      <w:r w:rsidRPr="004005B1">
        <w:t>Laws related to energy, economic development, land use, food production, water quality and quantity, and land acquisition or land retirement issues have been adopted and implemented on a silo basis.</w:t>
      </w:r>
      <w:r w:rsidR="0029499D" w:rsidRPr="0029499D">
        <w:t xml:space="preserve"> </w:t>
      </w:r>
      <w:r w:rsidR="0029499D">
        <w:t>Fragmented governance guarantees fragmented outcomes</w:t>
      </w:r>
      <w:r w:rsidR="00A57151">
        <w:t>, the antithesis of water sustainability.</w:t>
      </w:r>
    </w:p>
    <w:p w14:paraId="3F410142" w14:textId="77777777" w:rsidR="000322E2" w:rsidRDefault="000322E2" w:rsidP="000322E2">
      <w:pPr>
        <w:pStyle w:val="NoSpacing"/>
      </w:pPr>
    </w:p>
    <w:p w14:paraId="3110808E" w14:textId="7C3FAA1B" w:rsidR="00E93689" w:rsidRDefault="00E93689" w:rsidP="0029499D">
      <w:r>
        <w:t xml:space="preserve">To address this </w:t>
      </w:r>
      <w:r w:rsidR="00564DBE">
        <w:t xml:space="preserve">obstacle to sustainability, the Task Force </w:t>
      </w:r>
      <w:r w:rsidR="00ED45CC">
        <w:t xml:space="preserve">endorses the </w:t>
      </w:r>
      <w:commentRangeStart w:id="72"/>
      <w:r w:rsidR="00ED45CC">
        <w:t>following</w:t>
      </w:r>
      <w:commentRangeEnd w:id="72"/>
      <w:r w:rsidR="00F11569">
        <w:rPr>
          <w:rStyle w:val="CommentReference"/>
          <w:sz w:val="24"/>
          <w:szCs w:val="24"/>
        </w:rPr>
        <w:commentReference w:id="72"/>
      </w:r>
      <w:r w:rsidR="00ED45CC">
        <w:t xml:space="preserve"> recommendations from Section J of the Minnesota Water Sustainability Framework:</w:t>
      </w:r>
    </w:p>
    <w:p w14:paraId="3BE128E2" w14:textId="1F9CBF6A" w:rsidR="00ED45CC" w:rsidRPr="00F53296" w:rsidRDefault="00ED45CC" w:rsidP="00ED45CC">
      <w:pPr>
        <w:pStyle w:val="NoSpacing"/>
        <w:spacing w:line="276" w:lineRule="auto"/>
      </w:pPr>
      <w:r w:rsidRPr="00ED45CC">
        <w:t xml:space="preserve">RECOMMENDATION J.1.a: Convene a one-time Minnesota Water Congress to review all current state statutes and rules for alignment with water sustainability goals. A congress to review progress on environmental issues currently exists in Minnesota statute (see MN Stat. 2010 §116C.04). This review should include areas of law both directly and indirectly </w:t>
      </w:r>
      <w:r w:rsidRPr="00ED45CC">
        <w:lastRenderedPageBreak/>
        <w:t xml:space="preserve">related to water sustainability (e.g., land use, see Issue D; energy, see Issue F; building codes; transportation; economic development; drainage; food and fiber production), using water sustainability as a core principle throughout. The review should consider maximizing multiple benefits across issues (e.g., achieving water quality improvements and energy cost savings over the life of a </w:t>
      </w:r>
      <w:r w:rsidR="008013AE" w:rsidRPr="00ED45CC">
        <w:t>building,</w:t>
      </w:r>
      <w:r w:rsidRPr="00ED45CC">
        <w:t xml:space="preserve"> reducing stormwater runoff impacts and addressing climate change impacts). The review is not intended as a comprehensive rewrite of water statutes; rather the charge of the Congress is to identify </w:t>
      </w:r>
      <w:r w:rsidR="00B6376C" w:rsidRPr="00ED45CC">
        <w:t>overlaps</w:t>
      </w:r>
      <w:r w:rsidRPr="00ED45CC">
        <w:t>, gaps, conflicts in current statutes and rules, and alignment with sustainability principles. State law should be</w:t>
      </w:r>
      <w:r w:rsidRPr="00F53296">
        <w:t xml:space="preserve"> reviewed in the context of federal and local laws and rules. The Congress should recommend specific and comprehensive statutory changes based on the </w:t>
      </w:r>
      <w:commentRangeStart w:id="73"/>
      <w:r w:rsidRPr="00F53296">
        <w:t>review</w:t>
      </w:r>
      <w:commentRangeEnd w:id="73"/>
      <w:r w:rsidR="00681766" w:rsidRPr="00F53296">
        <w:rPr>
          <w:rStyle w:val="CommentReference"/>
          <w:sz w:val="24"/>
          <w:szCs w:val="24"/>
        </w:rPr>
        <w:commentReference w:id="73"/>
      </w:r>
      <w:r w:rsidRPr="00F53296">
        <w:t>.</w:t>
      </w:r>
    </w:p>
    <w:p w14:paraId="7519A649" w14:textId="77777777" w:rsidR="00ED45CC" w:rsidRDefault="00ED45CC" w:rsidP="00ED45CC">
      <w:pPr>
        <w:spacing w:line="276" w:lineRule="auto"/>
      </w:pPr>
    </w:p>
    <w:p w14:paraId="40A5DF73" w14:textId="419E9C02" w:rsidR="00ED45CC" w:rsidRPr="00ED45CC" w:rsidRDefault="00ED45CC" w:rsidP="00ED45CC">
      <w:pPr>
        <w:pStyle w:val="NoSpacing"/>
        <w:spacing w:line="276" w:lineRule="auto"/>
      </w:pPr>
      <w:r w:rsidRPr="00ED45CC">
        <w:t xml:space="preserve">RECOMMENDATION J.1.b: Enact a Minnesota Water Sustainability Act at the termination of the Minnesota Water Congress. The act will serve as </w:t>
      </w:r>
      <w:r w:rsidR="00C31AEA" w:rsidRPr="00ED45CC">
        <w:t>an</w:t>
      </w:r>
      <w:r w:rsidRPr="00ED45CC">
        <w:t xml:space="preserve"> umbrella statute guiding all </w:t>
      </w:r>
      <w:r w:rsidR="00B6376C" w:rsidRPr="00ED45CC">
        <w:t>laws</w:t>
      </w:r>
      <w:r w:rsidRPr="00ED45CC">
        <w:t xml:space="preserve"> and actions related to water sustainability. It should include a water sustainability vision and policy statement as articulated by the Minnesota Water Sustainability Framework, and principles and policy characteristics to guide future state and local actions. The act should direct state agencies and boards to evaluate their programs and operations for alignment with the act. The results of the alignment evaluation and subsequent actions taken to fully align should be reported to the Water Sustainability Board (see J.1.d below). This shall include agencies that directly and indirectly implement and enforce water policies. The evaluation shall inform a reorientation of programs and operations toward water sustainability </w:t>
      </w:r>
      <w:commentRangeStart w:id="74"/>
      <w:r w:rsidRPr="00ED45CC">
        <w:t>goals</w:t>
      </w:r>
      <w:commentRangeEnd w:id="74"/>
      <w:r w:rsidR="007764C1" w:rsidRPr="00ED45CC">
        <w:rPr>
          <w:rStyle w:val="CommentReference"/>
          <w:sz w:val="24"/>
          <w:szCs w:val="24"/>
        </w:rPr>
        <w:commentReference w:id="74"/>
      </w:r>
      <w:r w:rsidRPr="00ED45CC">
        <w:t>.</w:t>
      </w:r>
    </w:p>
    <w:p w14:paraId="367A1A1E" w14:textId="77777777" w:rsidR="00ED45CC" w:rsidRPr="00ED45CC" w:rsidRDefault="00ED45CC" w:rsidP="00ED45CC">
      <w:pPr>
        <w:pStyle w:val="NoSpacing"/>
        <w:spacing w:line="276" w:lineRule="auto"/>
      </w:pPr>
    </w:p>
    <w:p w14:paraId="0548B47D" w14:textId="77777777" w:rsidR="00ED45CC" w:rsidRDefault="00ED45CC" w:rsidP="00ED45CC">
      <w:pPr>
        <w:pStyle w:val="NoSpacing"/>
        <w:spacing w:line="276" w:lineRule="auto"/>
      </w:pPr>
      <w:r w:rsidRPr="00ED45CC">
        <w:t xml:space="preserve">RECOMMENDATION J.1.d: Create a Water Sustainability Board as a crosscutting governance structure bridging state and local action. </w:t>
      </w:r>
      <w:commentRangeStart w:id="75"/>
      <w:r w:rsidRPr="00ED45CC">
        <w:t>The</w:t>
      </w:r>
      <w:commentRangeEnd w:id="75"/>
      <w:r w:rsidR="005118C6" w:rsidRPr="00ED45CC">
        <w:rPr>
          <w:rStyle w:val="CommentReference"/>
          <w:sz w:val="24"/>
          <w:szCs w:val="24"/>
        </w:rPr>
        <w:commentReference w:id="75"/>
      </w:r>
      <w:r w:rsidRPr="00ED45CC">
        <w:t xml:space="preserve"> Water Sustainability Board will have the responsibility for coordinating and overseeing implementation of the Minnesota Water Sustainability Act (see recommendation J.1.b above) and advising on expenditures from the Clean Water Fund.</w:t>
      </w:r>
    </w:p>
    <w:p w14:paraId="0CD1C51E" w14:textId="77777777" w:rsidR="00ED45CC" w:rsidRDefault="00ED45CC" w:rsidP="00ED45CC">
      <w:pPr>
        <w:pStyle w:val="NoSpacing"/>
        <w:spacing w:line="276" w:lineRule="auto"/>
      </w:pPr>
    </w:p>
    <w:p w14:paraId="4F8872B8" w14:textId="4EE7E579" w:rsidR="00ED45CC" w:rsidRDefault="00ED45CC" w:rsidP="00C83BCC">
      <w:pPr>
        <w:pStyle w:val="NoSpacing"/>
        <w:spacing w:line="276" w:lineRule="auto"/>
      </w:pPr>
      <w:r w:rsidRPr="00F53296">
        <w:t xml:space="preserve">RECOMMENDATION J.2.a: Fund the creation of an interagency data and information portal. This portal would provide a single door, or entry, via the Internet to access all state water-related databases. It would provide an alignment of the </w:t>
      </w:r>
      <w:r w:rsidR="00B6376C" w:rsidRPr="00F53296">
        <w:t>data but</w:t>
      </w:r>
      <w:r w:rsidRPr="00F53296">
        <w:t xml:space="preserve"> not require all data to conform to the same single database or </w:t>
      </w:r>
      <w:commentRangeStart w:id="76"/>
      <w:r w:rsidRPr="00F53296">
        <w:t>structure</w:t>
      </w:r>
      <w:commentRangeEnd w:id="76"/>
      <w:r w:rsidR="00F86E23" w:rsidRPr="00F53296">
        <w:rPr>
          <w:rStyle w:val="CommentReference"/>
          <w:sz w:val="24"/>
          <w:szCs w:val="24"/>
        </w:rPr>
        <w:commentReference w:id="76"/>
      </w:r>
      <w:r w:rsidRPr="00F53296">
        <w:t>.</w:t>
      </w:r>
      <w:r>
        <w:t xml:space="preserve">  </w:t>
      </w:r>
    </w:p>
    <w:p w14:paraId="2A941FF2" w14:textId="77777777" w:rsidR="00C83BCC" w:rsidRPr="001968C4" w:rsidRDefault="00C83BCC" w:rsidP="00C83BCC">
      <w:pPr>
        <w:pStyle w:val="NoSpacing"/>
        <w:spacing w:line="276" w:lineRule="auto"/>
      </w:pPr>
    </w:p>
    <w:p w14:paraId="180FBABF" w14:textId="7CC55167" w:rsidR="00C83BCC" w:rsidRDefault="00282CD0" w:rsidP="00414481">
      <w:pPr>
        <w:pStyle w:val="NoSpacing"/>
        <w:spacing w:line="276" w:lineRule="auto"/>
        <w:rPr>
          <w:rFonts w:cs="Calibri"/>
        </w:rPr>
      </w:pPr>
      <w:r>
        <w:rPr>
          <w:rFonts w:cs="Calibri"/>
        </w:rPr>
        <w:t xml:space="preserve">Another impediment to </w:t>
      </w:r>
      <w:r w:rsidR="00556F74">
        <w:rPr>
          <w:rFonts w:cs="Calibri"/>
        </w:rPr>
        <w:t xml:space="preserve">protecting our shared water resources is </w:t>
      </w:r>
      <w:r w:rsidR="00176191">
        <w:rPr>
          <w:rFonts w:cs="Calibri"/>
        </w:rPr>
        <w:t>inconsistency in</w:t>
      </w:r>
      <w:r w:rsidR="00C83BCC">
        <w:rPr>
          <w:rFonts w:cs="Calibri"/>
        </w:rPr>
        <w:t xml:space="preserve"> compliance and</w:t>
      </w:r>
      <w:r w:rsidR="00176191">
        <w:rPr>
          <w:rFonts w:cs="Calibri"/>
        </w:rPr>
        <w:t xml:space="preserve"> enforcement of state and federal water quality rules and </w:t>
      </w:r>
      <w:commentRangeStart w:id="77"/>
      <w:r w:rsidR="00176191">
        <w:rPr>
          <w:rFonts w:cs="Calibri"/>
        </w:rPr>
        <w:t>regulations</w:t>
      </w:r>
      <w:commentRangeEnd w:id="77"/>
      <w:r w:rsidR="00312AB1">
        <w:rPr>
          <w:rStyle w:val="CommentReference"/>
          <w:rFonts w:cs="Calibri"/>
          <w:sz w:val="24"/>
          <w:szCs w:val="24"/>
        </w:rPr>
        <w:commentReference w:id="77"/>
      </w:r>
      <w:r w:rsidR="00176191">
        <w:rPr>
          <w:rFonts w:cs="Calibri"/>
        </w:rPr>
        <w:t xml:space="preserve">. </w:t>
      </w:r>
      <w:r w:rsidR="00EF134E" w:rsidRPr="00EF134E">
        <w:rPr>
          <w:rFonts w:cs="Calibri"/>
        </w:rPr>
        <w:t>When a single individual, entity, or industry views itself as functionally exempt from regulation or accountability, the cumulative result is resource depletion</w:t>
      </w:r>
      <w:r w:rsidR="005957EE">
        <w:rPr>
          <w:rFonts w:cs="Calibri"/>
        </w:rPr>
        <w:t xml:space="preserve"> or degradation</w:t>
      </w:r>
      <w:r w:rsidR="00EF134E" w:rsidRPr="00EF134E">
        <w:rPr>
          <w:rFonts w:cs="Calibri"/>
        </w:rPr>
        <w:t xml:space="preserve">. </w:t>
      </w:r>
      <w:r w:rsidR="00EF134E" w:rsidRPr="00EF134E">
        <w:rPr>
          <w:rFonts w:cs="Calibri"/>
        </w:rPr>
        <w:lastRenderedPageBreak/>
        <w:t>Short-term economic benefits and private profits accrue today, while long-term environmental, public health, and infrastructure costs are deferred to future generations.</w:t>
      </w:r>
      <w:r w:rsidR="00EF134E">
        <w:rPr>
          <w:rFonts w:cs="Calibri"/>
        </w:rPr>
        <w:t xml:space="preserve"> </w:t>
      </w:r>
    </w:p>
    <w:p w14:paraId="60E57104" w14:textId="77777777" w:rsidR="00C83BCC" w:rsidRDefault="00C83BCC" w:rsidP="00414481">
      <w:pPr>
        <w:pStyle w:val="NoSpacing"/>
        <w:spacing w:line="276" w:lineRule="auto"/>
        <w:rPr>
          <w:rFonts w:cs="Calibri"/>
        </w:rPr>
      </w:pPr>
    </w:p>
    <w:p w14:paraId="465E41E2" w14:textId="77777777" w:rsidR="00694194" w:rsidRDefault="00EF134E" w:rsidP="00A0332A">
      <w:pPr>
        <w:pStyle w:val="NoSpacing"/>
        <w:spacing w:line="276" w:lineRule="auto"/>
        <w:rPr>
          <w:rFonts w:cs="Calibri"/>
        </w:rPr>
      </w:pPr>
      <w:r>
        <w:rPr>
          <w:rFonts w:cs="Calibri"/>
        </w:rPr>
        <w:t>The Task Force</w:t>
      </w:r>
      <w:r w:rsidR="00C02330">
        <w:rPr>
          <w:rFonts w:cs="Calibri"/>
        </w:rPr>
        <w:t xml:space="preserve"> reiterates</w:t>
      </w:r>
      <w:r w:rsidR="00A0332A">
        <w:rPr>
          <w:rFonts w:cs="Calibri"/>
        </w:rPr>
        <w:t xml:space="preserve"> </w:t>
      </w:r>
      <w:r w:rsidR="00C02330">
        <w:rPr>
          <w:rFonts w:cs="Calibri"/>
        </w:rPr>
        <w:t xml:space="preserve">its </w:t>
      </w:r>
      <w:r w:rsidR="005957EE">
        <w:rPr>
          <w:rFonts w:cs="Calibri"/>
        </w:rPr>
        <w:t xml:space="preserve">general </w:t>
      </w:r>
      <w:r w:rsidR="00C02330">
        <w:rPr>
          <w:rFonts w:cs="Calibri"/>
        </w:rPr>
        <w:t xml:space="preserve">recommendation that all sectors </w:t>
      </w:r>
      <w:r w:rsidR="000349B6">
        <w:rPr>
          <w:rFonts w:cs="Calibri"/>
        </w:rPr>
        <w:t xml:space="preserve">be required to </w:t>
      </w:r>
      <w:r w:rsidR="007B7FBD">
        <w:rPr>
          <w:rFonts w:cs="Calibri"/>
        </w:rPr>
        <w:t xml:space="preserve">comply with pollutant load reductions, whether established through discharge permit limits, TMDL studies, </w:t>
      </w:r>
      <w:r w:rsidR="00DF40BF">
        <w:rPr>
          <w:rFonts w:cs="Calibri"/>
        </w:rPr>
        <w:t>pollution prevention plans, implementation of best management practices</w:t>
      </w:r>
      <w:r w:rsidR="00C95516">
        <w:rPr>
          <w:rFonts w:cs="Calibri"/>
        </w:rPr>
        <w:t xml:space="preserve">, and </w:t>
      </w:r>
      <w:r w:rsidR="00157ED4">
        <w:rPr>
          <w:rFonts w:cs="Calibri"/>
        </w:rPr>
        <w:t xml:space="preserve">to fully implement </w:t>
      </w:r>
      <w:r w:rsidR="008E28C0">
        <w:rPr>
          <w:rFonts w:cs="Calibri"/>
        </w:rPr>
        <w:t>all appropriate and relevant mitigation for unavoidable adverse impacts</w:t>
      </w:r>
      <w:r w:rsidR="00DF40BF">
        <w:rPr>
          <w:rFonts w:cs="Calibri"/>
        </w:rPr>
        <w:t>.</w:t>
      </w:r>
      <w:r w:rsidR="00A0332A">
        <w:rPr>
          <w:rFonts w:cs="Calibri"/>
        </w:rPr>
        <w:t xml:space="preserve"> </w:t>
      </w:r>
    </w:p>
    <w:p w14:paraId="3D54AA1D" w14:textId="77777777" w:rsidR="00694194" w:rsidRDefault="00694194" w:rsidP="00A0332A">
      <w:pPr>
        <w:pStyle w:val="NoSpacing"/>
        <w:spacing w:line="276" w:lineRule="auto"/>
        <w:rPr>
          <w:rFonts w:cs="Calibri"/>
        </w:rPr>
      </w:pPr>
    </w:p>
    <w:p w14:paraId="14FE8BF1" w14:textId="6B57B549" w:rsidR="00C52AC1" w:rsidRDefault="00A0332A" w:rsidP="00BD4763">
      <w:pPr>
        <w:pStyle w:val="NoSpacing"/>
        <w:spacing w:line="276" w:lineRule="auto"/>
        <w:rPr>
          <w:rFonts w:cs="Calibri"/>
        </w:rPr>
      </w:pPr>
      <w:r>
        <w:rPr>
          <w:rFonts w:cs="Calibri"/>
        </w:rPr>
        <w:t xml:space="preserve">Additionally, the Task Force notes that Minnesota needs </w:t>
      </w:r>
      <w:r w:rsidR="00E2078E">
        <w:rPr>
          <w:rFonts w:cs="Calibri"/>
        </w:rPr>
        <w:t>a judicial review and appeals system that has specific expertise in environmental issues.</w:t>
      </w:r>
      <w:r w:rsidR="00BD4763">
        <w:rPr>
          <w:rFonts w:cs="Calibri"/>
        </w:rPr>
        <w:t xml:space="preserve"> </w:t>
      </w:r>
      <w:r w:rsidR="00C52AC1">
        <w:rPr>
          <w:rFonts w:cs="Calibri"/>
        </w:rPr>
        <w:t xml:space="preserve">Whether that can be </w:t>
      </w:r>
      <w:r w:rsidR="0075379F">
        <w:rPr>
          <w:rFonts w:cs="Calibri"/>
        </w:rPr>
        <w:t xml:space="preserve">better </w:t>
      </w:r>
      <w:r w:rsidR="00C52AC1">
        <w:rPr>
          <w:rFonts w:cs="Calibri"/>
        </w:rPr>
        <w:t xml:space="preserve">remedied through </w:t>
      </w:r>
      <w:r w:rsidR="0075379F">
        <w:rPr>
          <w:rFonts w:cs="Calibri"/>
        </w:rPr>
        <w:t xml:space="preserve">ongoing </w:t>
      </w:r>
      <w:r w:rsidR="005A2CC5">
        <w:rPr>
          <w:rFonts w:cs="Calibri"/>
        </w:rPr>
        <w:t>professional training or targeted recruitment to the bench</w:t>
      </w:r>
      <w:r w:rsidR="0075379F">
        <w:rPr>
          <w:rFonts w:cs="Calibri"/>
        </w:rPr>
        <w:t xml:space="preserve"> is an important consideration for the Attorney General’s office.</w:t>
      </w:r>
    </w:p>
    <w:p w14:paraId="57F0D239" w14:textId="77777777" w:rsidR="00C52AC1" w:rsidRDefault="00C52AC1" w:rsidP="00BD4763">
      <w:pPr>
        <w:pStyle w:val="NoSpacing"/>
        <w:spacing w:line="276" w:lineRule="auto"/>
        <w:rPr>
          <w:rFonts w:cs="Calibri"/>
        </w:rPr>
      </w:pPr>
    </w:p>
    <w:p w14:paraId="6032DC60" w14:textId="714868ED" w:rsidR="00E51F8B" w:rsidRDefault="0075379F" w:rsidP="00BD4763">
      <w:pPr>
        <w:pStyle w:val="NoSpacing"/>
        <w:spacing w:line="276" w:lineRule="auto"/>
      </w:pPr>
      <w:r>
        <w:t>Relatedly, the f</w:t>
      </w:r>
      <w:r w:rsidR="00E51F8B">
        <w:t>inancial inequity</w:t>
      </w:r>
      <w:r w:rsidR="00F52A86">
        <w:t xml:space="preserve"> that results in uneven access to legal</w:t>
      </w:r>
      <w:r w:rsidR="001C1A76">
        <w:t xml:space="preserve"> </w:t>
      </w:r>
      <w:r w:rsidR="002153C1">
        <w:t xml:space="preserve">relief </w:t>
      </w:r>
      <w:r w:rsidR="00F52A86">
        <w:t>should be acknowledged</w:t>
      </w:r>
      <w:r w:rsidR="005C5051">
        <w:t>.</w:t>
      </w:r>
      <w:r w:rsidR="001C1A76">
        <w:t xml:space="preserve"> </w:t>
      </w:r>
      <w:r w:rsidR="005C5051">
        <w:t>F</w:t>
      </w:r>
      <w:r w:rsidR="001C1A76">
        <w:t>or example,</w:t>
      </w:r>
      <w:r w:rsidR="00E51F8B">
        <w:t xml:space="preserve"> wealthy industries</w:t>
      </w:r>
      <w:r w:rsidR="001C1A76">
        <w:t>,</w:t>
      </w:r>
      <w:r w:rsidR="00E51F8B">
        <w:t xml:space="preserve"> lobbyists,</w:t>
      </w:r>
      <w:r w:rsidR="001C1A76">
        <w:t xml:space="preserve"> and</w:t>
      </w:r>
      <w:r w:rsidR="00E51F8B">
        <w:t xml:space="preserve"> </w:t>
      </w:r>
      <w:r>
        <w:t>large-scale</w:t>
      </w:r>
      <w:r w:rsidR="00E51F8B">
        <w:t xml:space="preserve"> property owners are able to afford to challenge</w:t>
      </w:r>
      <w:r w:rsidR="00923225">
        <w:t xml:space="preserve"> existing and proposed</w:t>
      </w:r>
      <w:r w:rsidR="00E51F8B">
        <w:t xml:space="preserve"> environmental reg</w:t>
      </w:r>
      <w:r w:rsidR="001C1A76">
        <w:t>ulations</w:t>
      </w:r>
      <w:r w:rsidR="00E51F8B">
        <w:t xml:space="preserve"> and</w:t>
      </w:r>
      <w:r w:rsidR="001C1A76">
        <w:t xml:space="preserve"> their responsibilities for</w:t>
      </w:r>
      <w:r w:rsidR="00E51F8B">
        <w:t xml:space="preserve"> </w:t>
      </w:r>
      <w:r w:rsidR="00923225">
        <w:t>compliance and</w:t>
      </w:r>
      <w:r w:rsidR="00E51F8B">
        <w:t xml:space="preserve"> </w:t>
      </w:r>
      <w:r w:rsidR="00923225">
        <w:t xml:space="preserve">can </w:t>
      </w:r>
      <w:r w:rsidR="00DB26FD">
        <w:t>exercise</w:t>
      </w:r>
      <w:r w:rsidR="00E51F8B">
        <w:t xml:space="preserve"> the</w:t>
      </w:r>
      <w:r w:rsidR="00DB26FD">
        <w:t>ir</w:t>
      </w:r>
      <w:r w:rsidR="00E51F8B">
        <w:t xml:space="preserve"> financial power to avoid rules. Less well-resourced </w:t>
      </w:r>
      <w:r w:rsidR="00DB26FD">
        <w:t xml:space="preserve">private </w:t>
      </w:r>
      <w:r w:rsidR="00E51F8B">
        <w:t>citizens, municipalities, LGUs are not</w:t>
      </w:r>
      <w:r w:rsidR="000E5CB4">
        <w:t xml:space="preserve">. For </w:t>
      </w:r>
      <w:r w:rsidR="00716C7E">
        <w:rPr>
          <w:color w:val="EE0000"/>
        </w:rPr>
        <w:t xml:space="preserve">another </w:t>
      </w:r>
      <w:r w:rsidR="000E5CB4">
        <w:t xml:space="preserve">example, municipalities are severely under-resourced, yet have onerous regulatory burdens for </w:t>
      </w:r>
      <w:r w:rsidR="00C66885">
        <w:t>stormwater management, TMDL implementation, etc. that they are statutorily required to meet</w:t>
      </w:r>
      <w:r w:rsidR="00366976">
        <w:t>, and expensive administrative penalties when they don’t</w:t>
      </w:r>
      <w:r w:rsidR="004A25CF">
        <w:t>.</w:t>
      </w:r>
    </w:p>
    <w:p w14:paraId="5B57B976" w14:textId="77777777" w:rsidR="00366976" w:rsidRDefault="00366976" w:rsidP="00BD4763">
      <w:pPr>
        <w:pStyle w:val="NoSpacing"/>
        <w:spacing w:line="276" w:lineRule="auto"/>
      </w:pPr>
    </w:p>
    <w:p w14:paraId="64753935" w14:textId="06A9674B" w:rsidR="00AC1498" w:rsidRDefault="00366976" w:rsidP="00957E01">
      <w:pPr>
        <w:pStyle w:val="NoSpacing"/>
        <w:spacing w:line="276" w:lineRule="auto"/>
      </w:pPr>
      <w:r>
        <w:t>One way to address this inequit</w:t>
      </w:r>
      <w:r w:rsidR="00A70CB5">
        <w:t>y is provided by the Minnesota Water Sustainability Framework Section G, for which the objective is “to</w:t>
      </w:r>
      <w:r w:rsidR="00AC1498">
        <w:t xml:space="preserve"> encourage conservation of water and achieve informed decision making by incorporating the actual or “true” value of water in policies.</w:t>
      </w:r>
      <w:r w:rsidR="00A70CB5">
        <w:t xml:space="preserve">” </w:t>
      </w:r>
      <w:r w:rsidR="00957E01">
        <w:t>An identified strategy for meeting this objective is to “i</w:t>
      </w:r>
      <w:r w:rsidR="00AC1498">
        <w:t>ncorporate the economic value of ecological benefits provided by water (or the value of the diminished capacity to provide such benefits) in decision-making and assessments without commodifying water.</w:t>
      </w:r>
      <w:r w:rsidR="00957E01">
        <w:t>”</w:t>
      </w:r>
    </w:p>
    <w:p w14:paraId="22FB173D" w14:textId="77777777" w:rsidR="00957E01" w:rsidRDefault="00957E01" w:rsidP="00957E01">
      <w:pPr>
        <w:pStyle w:val="NoSpacing"/>
        <w:spacing w:line="276" w:lineRule="auto"/>
      </w:pPr>
    </w:p>
    <w:p w14:paraId="32437030" w14:textId="7B7BBCB1" w:rsidR="00957E01" w:rsidRDefault="00957E01" w:rsidP="00957E01">
      <w:pPr>
        <w:pStyle w:val="NoSpacing"/>
        <w:spacing w:line="276" w:lineRule="auto"/>
      </w:pPr>
      <w:r>
        <w:t>The Task Force endorses their recommendations as follows:</w:t>
      </w:r>
    </w:p>
    <w:p w14:paraId="65A36F71" w14:textId="77777777" w:rsidR="00957E01" w:rsidRPr="00957E01" w:rsidRDefault="00957E01" w:rsidP="00957E01">
      <w:pPr>
        <w:pStyle w:val="NoSpacing"/>
        <w:spacing w:line="276" w:lineRule="auto"/>
        <w:rPr>
          <w:rFonts w:cs="Calibri"/>
        </w:rPr>
      </w:pPr>
    </w:p>
    <w:p w14:paraId="00209095" w14:textId="49F7354A" w:rsidR="00AC1498" w:rsidRDefault="00AC1498" w:rsidP="00C2269A">
      <w:pPr>
        <w:pStyle w:val="NoSpacing"/>
        <w:spacing w:line="276" w:lineRule="auto"/>
      </w:pPr>
      <w:r>
        <w:t xml:space="preserve">RECOMMENDATION G.1.a: Improve water pricing structures to be inclusive of all the costs of water and to encourage </w:t>
      </w:r>
      <w:commentRangeStart w:id="78"/>
      <w:r>
        <w:t>conservation</w:t>
      </w:r>
      <w:commentRangeEnd w:id="78"/>
      <w:r w:rsidR="009459BD">
        <w:rPr>
          <w:rStyle w:val="CommentReference"/>
          <w:sz w:val="24"/>
          <w:szCs w:val="24"/>
        </w:rPr>
        <w:commentReference w:id="78"/>
      </w:r>
      <w:r>
        <w:t xml:space="preserve">. Require that the conservation water pricing structures enacted under 103G.271 include the economic value of ecological benefits (as determined in Recommendation G.1.d, below) for all </w:t>
      </w:r>
      <w:commentRangeStart w:id="79"/>
      <w:r>
        <w:t>users</w:t>
      </w:r>
      <w:commentRangeEnd w:id="79"/>
      <w:r w:rsidR="0040128D">
        <w:rPr>
          <w:rStyle w:val="CommentReference"/>
          <w:sz w:val="24"/>
          <w:szCs w:val="24"/>
        </w:rPr>
        <w:commentReference w:id="79"/>
      </w:r>
      <w:r>
        <w:t>.</w:t>
      </w:r>
    </w:p>
    <w:p w14:paraId="0949865B" w14:textId="77777777" w:rsidR="00B27A53" w:rsidRDefault="00B27A53" w:rsidP="00C2269A">
      <w:pPr>
        <w:pStyle w:val="NoSpacing"/>
        <w:spacing w:line="276" w:lineRule="auto"/>
      </w:pPr>
    </w:p>
    <w:p w14:paraId="7C574DEF" w14:textId="77777777" w:rsidR="00AC1498" w:rsidRPr="007A2023" w:rsidRDefault="00AC1498" w:rsidP="00C2269A">
      <w:pPr>
        <w:pStyle w:val="NoSpacing"/>
        <w:spacing w:line="276" w:lineRule="auto"/>
        <w:rPr>
          <w:b/>
          <w:bCs/>
        </w:rPr>
      </w:pPr>
      <w:r>
        <w:lastRenderedPageBreak/>
        <w:t xml:space="preserve">RECOMMENDATION G.1.d: Fund a research project to estimate the economic value of the diminished ecological benefits provided by water as a result of environmental degradation (i.e., the cost of restoring and protecting these benefits). </w:t>
      </w:r>
    </w:p>
    <w:p w14:paraId="3C55D7AA" w14:textId="64B40342" w:rsidR="00AC1498" w:rsidRDefault="00AC1498" w:rsidP="00C2269A">
      <w:pPr>
        <w:pStyle w:val="NoSpacing"/>
        <w:spacing w:line="276" w:lineRule="auto"/>
      </w:pPr>
      <w:r>
        <w:t>RECOMMENDATION G.1.d: Fund a research project to estimate the economic value of the diminished ecological benefits provided by water as a result of environmental degradation (i.e., the cost of restoring and protecting these benefits). An economics model for estimating their overall value should be developed using the best available knowledge and science and applied to Minnesota. This project should also be funded to collect the necessary site-specific data to calibrate and validate the model. This value of diminished benefits should be incorporated into all community water pricing structures, as described in G.1.a</w:t>
      </w:r>
      <w:r w:rsidR="00B27A53">
        <w:t>.</w:t>
      </w:r>
    </w:p>
    <w:p w14:paraId="11E07D85" w14:textId="77777777" w:rsidR="00623D38" w:rsidRDefault="00623D38" w:rsidP="00C2269A">
      <w:pPr>
        <w:pStyle w:val="NoSpacing"/>
        <w:spacing w:line="276" w:lineRule="auto"/>
      </w:pPr>
    </w:p>
    <w:p w14:paraId="424EAAF4" w14:textId="51FA3A44" w:rsidR="00623D38" w:rsidRPr="008F67CB" w:rsidRDefault="00623D38" w:rsidP="00623D38">
      <w:pPr>
        <w:pStyle w:val="NoSpacing"/>
        <w:shd w:val="clear" w:color="auto" w:fill="FFFFFF" w:themeFill="background1"/>
        <w:spacing w:before="100" w:beforeAutospacing="1" w:after="100" w:afterAutospacing="1" w:line="276" w:lineRule="auto"/>
        <w:textAlignment w:val="baseline"/>
        <w:rPr>
          <w:rFonts w:eastAsiaTheme="majorEastAsia" w:cs="Calibri"/>
        </w:rPr>
      </w:pPr>
      <w:r>
        <w:t>Finally, the Ta</w:t>
      </w:r>
      <w:r w:rsidR="00274777">
        <w:t>sk</w:t>
      </w:r>
      <w:r>
        <w:t xml:space="preserve"> Force recognizes that </w:t>
      </w:r>
      <w:r>
        <w:rPr>
          <w:rStyle w:val="Strong"/>
          <w:rFonts w:eastAsiaTheme="majorEastAsia" w:cs="Calibri"/>
          <w:b w:val="0"/>
          <w:bCs w:val="0"/>
        </w:rPr>
        <w:t>c</w:t>
      </w:r>
      <w:r w:rsidRPr="00514C3A">
        <w:rPr>
          <w:rStyle w:val="Strong"/>
          <w:rFonts w:eastAsiaTheme="majorEastAsia" w:cs="Calibri"/>
          <w:b w:val="0"/>
          <w:bCs w:val="0"/>
        </w:rPr>
        <w:t>limate change is a magnifier of other stressors impacting Minnesota waters. It accelerates geochemical processes, disrupts “normal” hydrologic conditions, magnifies nonpoint nutrient loading and recreational impacts while challenging existing regulatory and behavioral frameworks. Together, these dynamics underscore the need for climate-informed water governance that integrates science, policy, and human behavior.</w:t>
      </w:r>
      <w:r>
        <w:rPr>
          <w:rStyle w:val="Strong"/>
          <w:rFonts w:eastAsiaTheme="majorEastAsia" w:cs="Calibri"/>
          <w:b w:val="0"/>
          <w:bCs w:val="0"/>
        </w:rPr>
        <w:t xml:space="preserve"> </w:t>
      </w:r>
      <w:r w:rsidRPr="00514C3A">
        <w:rPr>
          <w:rFonts w:cs="Calibri"/>
        </w:rPr>
        <w:t xml:space="preserve">Minnesota’s water future will require aligning shoreline protections, nutrient reduction strategies, </w:t>
      </w:r>
      <w:r>
        <w:rPr>
          <w:rFonts w:cs="Calibri"/>
        </w:rPr>
        <w:t xml:space="preserve">hydrologic changes </w:t>
      </w:r>
      <w:r w:rsidRPr="00514C3A">
        <w:rPr>
          <w:rFonts w:cs="Calibri"/>
        </w:rPr>
        <w:t>and recreation</w:t>
      </w:r>
      <w:r>
        <w:rPr>
          <w:rFonts w:cs="Calibri"/>
        </w:rPr>
        <w:t>al</w:t>
      </w:r>
      <w:r w:rsidRPr="00514C3A">
        <w:rPr>
          <w:rFonts w:cs="Calibri"/>
        </w:rPr>
        <w:t xml:space="preserve"> management with climate projections; strengthening coordination across agencies and jurisdictions; and prioritizing adaptive, resilient practices that perform under a wider range of hydrologic conditions. Without explicitly accounting for climate change, efforts to address any single concern risk being undermined by the accelerating cumulative effects across all </w:t>
      </w:r>
      <w:r>
        <w:rPr>
          <w:rFonts w:cs="Calibri"/>
        </w:rPr>
        <w:t>categories</w:t>
      </w:r>
      <w:r w:rsidRPr="00514C3A">
        <w:rPr>
          <w:rFonts w:cs="Calibri"/>
        </w:rPr>
        <w:t>.</w:t>
      </w:r>
    </w:p>
    <w:p w14:paraId="59623DCB" w14:textId="5F012CC7" w:rsidR="00623D38" w:rsidRPr="00F53296" w:rsidRDefault="00623D38" w:rsidP="00C2269A">
      <w:pPr>
        <w:pStyle w:val="NoSpacing"/>
        <w:spacing w:line="276" w:lineRule="auto"/>
      </w:pPr>
    </w:p>
    <w:p w14:paraId="391F3869" w14:textId="77777777" w:rsidR="00A96581" w:rsidRDefault="00A96581" w:rsidP="00A96581">
      <w:pPr>
        <w:pStyle w:val="NoSpacing"/>
        <w:rPr>
          <w:highlight w:val="yellow"/>
        </w:rPr>
      </w:pPr>
    </w:p>
    <w:p w14:paraId="2FC56580" w14:textId="77777777" w:rsidR="008F67CB" w:rsidRDefault="008F67CB" w:rsidP="008F67CB">
      <w:pPr>
        <w:pStyle w:val="ListParagraph"/>
        <w:rPr>
          <w:rFonts w:eastAsiaTheme="majorEastAsia" w:cs="Calibri"/>
        </w:rPr>
      </w:pPr>
    </w:p>
    <w:p w14:paraId="4B0D833B" w14:textId="29952858" w:rsidR="008F67CB" w:rsidRPr="00EB3FF5" w:rsidRDefault="008F67CB" w:rsidP="008F67CB">
      <w:pPr>
        <w:rPr>
          <w:rFonts w:eastAsiaTheme="majorEastAsia" w:cs="Calibri"/>
        </w:rPr>
      </w:pPr>
      <w:r>
        <w:rPr>
          <w:rFonts w:eastAsiaTheme="majorEastAsia" w:cs="Calibri"/>
        </w:rPr>
        <w:br w:type="page"/>
      </w:r>
    </w:p>
    <w:p w14:paraId="254DC1F7" w14:textId="21215A89" w:rsidR="009301CB" w:rsidRPr="00D5733C" w:rsidRDefault="009301CB" w:rsidP="00D5733C">
      <w:pPr>
        <w:pStyle w:val="IntenseQuote"/>
      </w:pPr>
      <w:r w:rsidRPr="00D5733C">
        <w:lastRenderedPageBreak/>
        <w:t>Outreach/Education</w:t>
      </w:r>
    </w:p>
    <w:p w14:paraId="7A236857" w14:textId="5DB9A348" w:rsidR="00181756" w:rsidRPr="00E31D68" w:rsidRDefault="003F1091" w:rsidP="00E31D68">
      <w:pPr>
        <w:rPr>
          <w:color w:val="000000"/>
        </w:rPr>
      </w:pPr>
      <w:r>
        <w:t xml:space="preserve">We </w:t>
      </w:r>
      <w:r w:rsidR="002419C3">
        <w:t>will</w:t>
      </w:r>
      <w:r>
        <w:t xml:space="preserve"> only</w:t>
      </w:r>
      <w:r w:rsidR="002419C3">
        <w:t xml:space="preserve"> be able to</w:t>
      </w:r>
      <w:r>
        <w:t xml:space="preserve"> achieve sustainability of our water resources</w:t>
      </w:r>
      <w:r w:rsidR="00591EBD">
        <w:t xml:space="preserve"> by empowering Minnesotans to make substantial changes in how water is valued, how water is used, how water is conserved, and how </w:t>
      </w:r>
      <w:r w:rsidR="002419C3">
        <w:t xml:space="preserve">a sense of </w:t>
      </w:r>
      <w:r w:rsidR="00591EBD">
        <w:t xml:space="preserve">water stewardship is instilled in future generations. </w:t>
      </w:r>
      <w:r w:rsidR="002419C3">
        <w:t>We need to recognize that h</w:t>
      </w:r>
      <w:r w:rsidR="00591EBD">
        <w:t>umans are part of ecosystems, not separate from them</w:t>
      </w:r>
      <w:r w:rsidR="00A0623D">
        <w:t>. P</w:t>
      </w:r>
      <w:r w:rsidR="00591EBD">
        <w:t xml:space="preserve">lanning for water sustainability must support and </w:t>
      </w:r>
      <w:r w:rsidR="00B6376C">
        <w:t>engage</w:t>
      </w:r>
      <w:r w:rsidR="00591EBD">
        <w:t xml:space="preserve"> citizens as decision makers</w:t>
      </w:r>
      <w:r w:rsidR="00134BB6" w:rsidRPr="00134BB6">
        <w:t xml:space="preserve"> </w:t>
      </w:r>
      <w:r w:rsidR="00134BB6">
        <w:t>on whom water sustainability depends</w:t>
      </w:r>
      <w:r w:rsidR="00A0623D">
        <w:t>;</w:t>
      </w:r>
      <w:r w:rsidR="00134BB6">
        <w:t xml:space="preserve"> sustainable behaviors must be woven through our cultural fabric.</w:t>
      </w:r>
      <w:r w:rsidR="00B911B9" w:rsidRPr="00B911B9">
        <w:rPr>
          <w:color w:val="000000"/>
        </w:rPr>
        <w:t xml:space="preserve"> </w:t>
      </w:r>
      <w:r w:rsidR="00B911B9" w:rsidRPr="00B911B9">
        <w:rPr>
          <w:color w:val="EE0000"/>
        </w:rPr>
        <w:t xml:space="preserve">This framing </w:t>
      </w:r>
      <w:r w:rsidR="00B911B9">
        <w:rPr>
          <w:color w:val="EE0000"/>
        </w:rPr>
        <w:t xml:space="preserve">is more </w:t>
      </w:r>
      <w:r w:rsidR="005D1822">
        <w:rPr>
          <w:color w:val="EE0000"/>
        </w:rPr>
        <w:t>in keeping with</w:t>
      </w:r>
      <w:r w:rsidR="00B911B9" w:rsidRPr="00B911B9">
        <w:rPr>
          <w:color w:val="EE0000"/>
        </w:rPr>
        <w:t xml:space="preserve"> </w:t>
      </w:r>
      <w:r w:rsidR="00BD3257">
        <w:rPr>
          <w:color w:val="EE0000"/>
        </w:rPr>
        <w:t xml:space="preserve">traditional </w:t>
      </w:r>
      <w:r w:rsidR="00B911B9" w:rsidRPr="00B911B9">
        <w:rPr>
          <w:color w:val="EE0000"/>
        </w:rPr>
        <w:t>tribal relationships with natural systems, which typically reflect intangible and reciprocal relationships.</w:t>
      </w:r>
    </w:p>
    <w:p w14:paraId="6F3EA9F7" w14:textId="26D307B6" w:rsidR="00181756" w:rsidRDefault="00181756" w:rsidP="004A365D">
      <w:pPr>
        <w:pStyle w:val="NoSpacing"/>
        <w:spacing w:line="276" w:lineRule="auto"/>
      </w:pPr>
      <w:r>
        <w:t xml:space="preserve">Minnesotans place a high value on a clean, abundant water supply and healthy aquatic ecosystems. </w:t>
      </w:r>
      <w:r w:rsidR="00A0623D">
        <w:t>Yet r</w:t>
      </w:r>
      <w:r>
        <w:t xml:space="preserve">elatively few understand the benefits to nature that water provides, the connection between ecosystem health and human well-being, what protecting water and waterways entails, or how their own behavior and choices affect it. </w:t>
      </w:r>
      <w:r w:rsidR="00291E28" w:rsidRPr="00291E28">
        <w:rPr>
          <w:rFonts w:eastAsia="Times New Roman" w:cs="Calibri"/>
          <w:kern w:val="0"/>
          <w14:ligatures w14:val="none"/>
        </w:rPr>
        <w:t xml:space="preserve">Economic considerations are also central to </w:t>
      </w:r>
      <w:r w:rsidR="00291E28">
        <w:rPr>
          <w:rFonts w:eastAsia="Times New Roman" w:cs="Calibri"/>
          <w:kern w:val="0"/>
          <w14:ligatures w14:val="none"/>
        </w:rPr>
        <w:t xml:space="preserve">human </w:t>
      </w:r>
      <w:r w:rsidR="00291E28" w:rsidRPr="00291E28">
        <w:rPr>
          <w:rFonts w:eastAsia="Times New Roman" w:cs="Calibri"/>
          <w:kern w:val="0"/>
          <w14:ligatures w14:val="none"/>
        </w:rPr>
        <w:t xml:space="preserve">behavior change. There is a need for new and improved economic indicators to recognize the value of ecosystem services provided with best management practices. By maintaining or improving water quality and natural </w:t>
      </w:r>
      <w:r w:rsidR="00DB2630">
        <w:rPr>
          <w:rFonts w:eastAsia="Times New Roman" w:cs="Calibri"/>
          <w:kern w:val="0"/>
          <w14:ligatures w14:val="none"/>
        </w:rPr>
        <w:t>watershed</w:t>
      </w:r>
      <w:r w:rsidR="00291E28" w:rsidRPr="00291E28">
        <w:rPr>
          <w:rFonts w:eastAsia="Times New Roman" w:cs="Calibri"/>
          <w:kern w:val="0"/>
          <w14:ligatures w14:val="none"/>
        </w:rPr>
        <w:t xml:space="preserve"> conditions, behavior-focused programs not only advance</w:t>
      </w:r>
      <w:r w:rsidR="00291E28" w:rsidRPr="00291E28">
        <w:rPr>
          <w:rFonts w:ascii="Calibri" w:eastAsia="Times New Roman" w:hAnsi="Calibri" w:cs="Calibri"/>
          <w:kern w:val="0"/>
          <w14:ligatures w14:val="none"/>
        </w:rPr>
        <w:t xml:space="preserve"> </w:t>
      </w:r>
      <w:r w:rsidR="00291E28" w:rsidRPr="00291E28">
        <w:rPr>
          <w:rFonts w:eastAsia="Times New Roman" w:cs="Calibri"/>
          <w:kern w:val="0"/>
          <w14:ligatures w14:val="none"/>
        </w:rPr>
        <w:t>ecological goals but also protect economic benefits tied to property values, recreational tourism, and local tax bases.</w:t>
      </w:r>
    </w:p>
    <w:p w14:paraId="28E8D15A" w14:textId="77777777" w:rsidR="00717033" w:rsidRDefault="00717033" w:rsidP="004A365D">
      <w:pPr>
        <w:pStyle w:val="NoSpacing"/>
        <w:spacing w:line="276" w:lineRule="auto"/>
      </w:pPr>
    </w:p>
    <w:p w14:paraId="4CBACE80" w14:textId="69D1B116" w:rsidR="00717033" w:rsidRDefault="00717033" w:rsidP="004A365D">
      <w:pPr>
        <w:pStyle w:val="NoSpacing"/>
        <w:spacing w:line="276" w:lineRule="auto"/>
      </w:pPr>
      <w:r>
        <w:t xml:space="preserve">In addition to supporting and maintaining the existing and effective outreach programs </w:t>
      </w:r>
      <w:r w:rsidR="00640C77">
        <w:t xml:space="preserve">for </w:t>
      </w:r>
      <w:r w:rsidR="00B132A3">
        <w:t xml:space="preserve">Minnesota’s </w:t>
      </w:r>
      <w:r w:rsidR="00640C77">
        <w:t xml:space="preserve">water resources, the Task Force </w:t>
      </w:r>
      <w:commentRangeStart w:id="80"/>
      <w:r w:rsidR="00640C77">
        <w:t>recommends</w:t>
      </w:r>
      <w:commentRangeEnd w:id="80"/>
      <w:r w:rsidR="009965BC">
        <w:rPr>
          <w:rStyle w:val="CommentReference"/>
          <w:sz w:val="24"/>
          <w:szCs w:val="24"/>
        </w:rPr>
        <w:commentReference w:id="80"/>
      </w:r>
      <w:r w:rsidR="00640C77">
        <w:t>:</w:t>
      </w:r>
    </w:p>
    <w:p w14:paraId="64B17804" w14:textId="77777777" w:rsidR="003F1091" w:rsidRPr="00591EBD" w:rsidRDefault="003F1091" w:rsidP="00591EBD">
      <w:pPr>
        <w:pStyle w:val="NoSpacing"/>
        <w:rPr>
          <w:rFonts w:cs="Calibri"/>
        </w:rPr>
      </w:pPr>
    </w:p>
    <w:p w14:paraId="48D72B20" w14:textId="3E0A76C1" w:rsidR="00F71ABA" w:rsidRPr="006D2A13" w:rsidRDefault="003150EE" w:rsidP="00F71ABA">
      <w:pPr>
        <w:pStyle w:val="NoSpacing"/>
        <w:numPr>
          <w:ilvl w:val="0"/>
          <w:numId w:val="45"/>
        </w:numPr>
        <w:rPr>
          <w:rFonts w:cs="Calibri"/>
        </w:rPr>
      </w:pPr>
      <w:r w:rsidRPr="003150EE">
        <w:rPr>
          <w:rFonts w:cs="Calibri"/>
        </w:rPr>
        <w:t xml:space="preserve">Create a state-wide </w:t>
      </w:r>
      <w:r w:rsidR="00640C77">
        <w:rPr>
          <w:rFonts w:cs="Calibri"/>
        </w:rPr>
        <w:t>“</w:t>
      </w:r>
      <w:r w:rsidRPr="003150EE">
        <w:rPr>
          <w:rFonts w:cs="Calibri"/>
        </w:rPr>
        <w:t>brand</w:t>
      </w:r>
      <w:r w:rsidR="00640C77">
        <w:rPr>
          <w:rFonts w:cs="Calibri"/>
        </w:rPr>
        <w:t>”</w:t>
      </w:r>
      <w:r w:rsidRPr="003150EE">
        <w:rPr>
          <w:rFonts w:cs="Calibri"/>
        </w:rPr>
        <w:t xml:space="preserve"> to instill a sense of stewardship and pride of our </w:t>
      </w:r>
      <w:r w:rsidR="00B132A3">
        <w:rPr>
          <w:rFonts w:cs="Calibri"/>
        </w:rPr>
        <w:t xml:space="preserve">water </w:t>
      </w:r>
      <w:r w:rsidR="00B6376C" w:rsidRPr="003150EE">
        <w:rPr>
          <w:rFonts w:cs="Calibri"/>
        </w:rPr>
        <w:t>resources and</w:t>
      </w:r>
      <w:r w:rsidRPr="003150EE">
        <w:rPr>
          <w:rFonts w:cs="Calibri"/>
        </w:rPr>
        <w:t xml:space="preserve"> acknowledge they will be passed to the next generation. </w:t>
      </w:r>
    </w:p>
    <w:p w14:paraId="45DC91E8" w14:textId="77777777" w:rsidR="00F71ABA" w:rsidRPr="003150EE" w:rsidRDefault="00F71ABA" w:rsidP="00F71ABA">
      <w:pPr>
        <w:pStyle w:val="NoSpacing"/>
        <w:rPr>
          <w:rFonts w:cs="Calibri"/>
        </w:rPr>
      </w:pPr>
    </w:p>
    <w:p w14:paraId="39D65469" w14:textId="77777777" w:rsidR="00F71ABA" w:rsidRDefault="00F71ABA" w:rsidP="00640C77">
      <w:pPr>
        <w:pStyle w:val="NoSpacing"/>
        <w:numPr>
          <w:ilvl w:val="0"/>
          <w:numId w:val="45"/>
        </w:numPr>
        <w:rPr>
          <w:rFonts w:cs="Calibri"/>
        </w:rPr>
      </w:pPr>
      <w:r w:rsidRPr="00E471E6">
        <w:rPr>
          <w:rFonts w:cs="Calibri"/>
        </w:rPr>
        <w:t>Elevate behavior change as a core water protection strategy, supported by coordinated outreach, incentives, and community engagement.</w:t>
      </w:r>
    </w:p>
    <w:p w14:paraId="7B4AAEE2" w14:textId="77777777" w:rsidR="00291E28" w:rsidRDefault="00291E28" w:rsidP="00291E28">
      <w:pPr>
        <w:pStyle w:val="NoSpacing"/>
        <w:rPr>
          <w:rFonts w:cs="Calibri"/>
        </w:rPr>
      </w:pPr>
    </w:p>
    <w:p w14:paraId="32FD9C91" w14:textId="0201D720" w:rsidR="00291E28" w:rsidRPr="00291E28" w:rsidRDefault="00291E28" w:rsidP="00291E28">
      <w:pPr>
        <w:pStyle w:val="NoSpacing"/>
        <w:numPr>
          <w:ilvl w:val="0"/>
          <w:numId w:val="45"/>
        </w:numPr>
        <w:rPr>
          <w:rFonts w:cs="Calibri"/>
        </w:rPr>
      </w:pPr>
      <w:r w:rsidRPr="003150EE">
        <w:rPr>
          <w:rFonts w:cs="Calibri"/>
        </w:rPr>
        <w:t>Strengthen public understanding and policy support by making the economic, health, and community benefits of water protection explicit.</w:t>
      </w:r>
    </w:p>
    <w:p w14:paraId="698B768B" w14:textId="77777777" w:rsidR="008917AB" w:rsidRDefault="008917AB" w:rsidP="00C879EB">
      <w:pPr>
        <w:pStyle w:val="NoSpacing"/>
        <w:rPr>
          <w:highlight w:val="yellow"/>
        </w:rPr>
      </w:pPr>
    </w:p>
    <w:p w14:paraId="30C6C8CD" w14:textId="0C333226" w:rsidR="00F17DA7" w:rsidRPr="00E31D68" w:rsidRDefault="00F17DA7" w:rsidP="00FB59AA">
      <w:pPr>
        <w:pStyle w:val="NoSpacing"/>
        <w:rPr>
          <w:highlight w:val="yellow"/>
        </w:rPr>
      </w:pPr>
    </w:p>
    <w:sectPr w:rsidR="00F17DA7" w:rsidRPr="00E31D6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ncy Schuldt" w:date="2026-05-21T14:03:00Z" w:initials="NS">
    <w:p w14:paraId="4FC6F5DD" w14:textId="77777777" w:rsidR="00382062" w:rsidRDefault="00382062" w:rsidP="00382062">
      <w:pPr>
        <w:pStyle w:val="CommentText"/>
      </w:pPr>
      <w:r>
        <w:rPr>
          <w:rStyle w:val="CommentReference"/>
        </w:rPr>
        <w:annotationRef/>
      </w:r>
      <w:r>
        <w:rPr>
          <w:color w:val="242424"/>
        </w:rPr>
        <w:t>MDA</w:t>
      </w:r>
    </w:p>
    <w:p w14:paraId="6A2BCF91" w14:textId="77777777" w:rsidR="00382062" w:rsidRDefault="00382062" w:rsidP="00382062">
      <w:pPr>
        <w:pStyle w:val="CommentText"/>
      </w:pPr>
      <w:r>
        <w:rPr>
          <w:color w:val="242424"/>
        </w:rPr>
        <w:t>Pesticides are not contaminants of emerging concern. Pesticides are intensely studied chemicals and are the only class of chemicals listed where it is specifically known how much is being sold.</w:t>
      </w:r>
    </w:p>
  </w:comment>
  <w:comment w:id="1" w:author="Nancy Schuldt" w:date="2026-05-21T14:03:00Z" w:initials="NS">
    <w:p w14:paraId="2E3D0085" w14:textId="77777777" w:rsidR="001F562A" w:rsidRDefault="00382062" w:rsidP="001F562A">
      <w:pPr>
        <w:pStyle w:val="CommentText"/>
      </w:pPr>
      <w:r>
        <w:rPr>
          <w:rStyle w:val="CommentReference"/>
        </w:rPr>
        <w:annotationRef/>
      </w:r>
      <w:r w:rsidR="001F562A">
        <w:t>See revised text in red font</w:t>
      </w:r>
    </w:p>
  </w:comment>
  <w:comment w:id="2" w:author="Nancy Schuldt" w:date="2026-05-21T14:21:00Z" w:initials="NS">
    <w:p w14:paraId="684CBE40" w14:textId="77777777" w:rsidR="00B23741" w:rsidRDefault="00B23741" w:rsidP="00B23741">
      <w:pPr>
        <w:pStyle w:val="CommentText"/>
      </w:pPr>
      <w:r>
        <w:rPr>
          <w:rStyle w:val="CommentReference"/>
        </w:rPr>
        <w:annotationRef/>
      </w:r>
      <w:r>
        <w:rPr>
          <w:color w:val="000000"/>
        </w:rPr>
        <w:t xml:space="preserve">MDH: Clean water fund is sunsetting in 9 years. If that does not continue a lot of work that has been achieved and a lot of work that will needs to be achieved will end. </w:t>
      </w:r>
    </w:p>
  </w:comment>
  <w:comment w:id="3" w:author="Nancy Schuldt" w:date="2026-05-21T14:04:00Z" w:initials="NS">
    <w:p w14:paraId="41E5AA49" w14:textId="213A7E68" w:rsidR="00B01159" w:rsidRDefault="000A16B1" w:rsidP="00B01159">
      <w:pPr>
        <w:pStyle w:val="CommentText"/>
      </w:pPr>
      <w:r>
        <w:rPr>
          <w:rStyle w:val="CommentReference"/>
        </w:rPr>
        <w:annotationRef/>
      </w:r>
      <w:r w:rsidR="00B01159">
        <w:rPr>
          <w:color w:val="242424"/>
        </w:rPr>
        <w:t>MDA, MDH</w:t>
      </w:r>
    </w:p>
    <w:p w14:paraId="22C2882A" w14:textId="77777777" w:rsidR="00B01159" w:rsidRDefault="00B01159" w:rsidP="00B01159">
      <w:pPr>
        <w:pStyle w:val="CommentText"/>
      </w:pPr>
      <w:r>
        <w:rPr>
          <w:color w:val="242424"/>
        </w:rPr>
        <w:t>This is already done, see MS 18B.04 and 18B.045</w:t>
      </w:r>
    </w:p>
    <w:p w14:paraId="040DCFF8" w14:textId="77777777" w:rsidR="00B01159" w:rsidRDefault="00B01159" w:rsidP="00B01159">
      <w:pPr>
        <w:pStyle w:val="CommentText"/>
      </w:pPr>
      <w:r>
        <w:rPr>
          <w:color w:val="242424"/>
        </w:rPr>
        <w:t>Pesticides are already highly regulated through scientific analysis and risk determination. </w:t>
      </w:r>
      <w:hyperlink r:id="rId1" w:history="1">
        <w:r w:rsidRPr="0081217F">
          <w:rPr>
            <w:rStyle w:val="Hyperlink"/>
          </w:rPr>
          <w:t>https://www.epa.gov/pesticide-registration/about-pesticide-registration</w:t>
        </w:r>
      </w:hyperlink>
    </w:p>
  </w:comment>
  <w:comment w:id="4" w:author="Nancy Schuldt" w:date="2026-06-04T10:32:00Z" w:initials="NS">
    <w:p w14:paraId="6044FF2E" w14:textId="77777777" w:rsidR="00E26051" w:rsidRDefault="00E26051" w:rsidP="00E26051">
      <w:pPr>
        <w:pStyle w:val="CommentText"/>
      </w:pPr>
      <w:r>
        <w:rPr>
          <w:rStyle w:val="CommentReference"/>
        </w:rPr>
        <w:annotationRef/>
      </w:r>
      <w:r>
        <w:t>Strike recommendation</w:t>
      </w:r>
    </w:p>
  </w:comment>
  <w:comment w:id="5" w:author="Nancy Schuldt" w:date="2026-05-21T14:05:00Z" w:initials="NS">
    <w:p w14:paraId="1134E829" w14:textId="77777777" w:rsidR="00AD7170" w:rsidRDefault="0098707A" w:rsidP="00AD7170">
      <w:pPr>
        <w:pStyle w:val="CommentText"/>
      </w:pPr>
      <w:r>
        <w:rPr>
          <w:rStyle w:val="CommentReference"/>
        </w:rPr>
        <w:annotationRef/>
      </w:r>
      <w:r w:rsidR="00AD7170">
        <w:rPr>
          <w:color w:val="242424"/>
        </w:rPr>
        <w:t>MDA</w:t>
      </w:r>
    </w:p>
    <w:p w14:paraId="35BB331A" w14:textId="77777777" w:rsidR="00AD7170" w:rsidRDefault="00AD7170" w:rsidP="00AD7170">
      <w:pPr>
        <w:pStyle w:val="CommentText"/>
      </w:pPr>
      <w:r>
        <w:rPr>
          <w:color w:val="242424"/>
        </w:rPr>
        <w:t>Note: It is already in practice that MDA nominates pesticides to MDH for developing groundwater guidance values.</w:t>
      </w:r>
    </w:p>
    <w:p w14:paraId="28FA0CAA" w14:textId="77777777" w:rsidR="00AD7170" w:rsidRDefault="00AD7170" w:rsidP="00AD7170">
      <w:pPr>
        <w:pStyle w:val="CommentText"/>
      </w:pPr>
      <w:r>
        <w:rPr>
          <w:color w:val="242424"/>
        </w:rPr>
        <w:t xml:space="preserve">MDH: </w:t>
      </w:r>
      <w:r>
        <w:rPr>
          <w:color w:val="000000"/>
        </w:rPr>
        <w:t>We have not fully implemented DW CEC program (aka state regulatory levels for DW). MPCA and MDH work together to determine what to assess both for human and environmental impacts</w:t>
      </w:r>
    </w:p>
  </w:comment>
  <w:comment w:id="6" w:author="Nancy Schuldt" w:date="2026-05-21T14:24:00Z" w:initials="NS">
    <w:p w14:paraId="0BB25CC4" w14:textId="77777777" w:rsidR="007437E5" w:rsidRDefault="003423E0" w:rsidP="007437E5">
      <w:pPr>
        <w:pStyle w:val="CommentText"/>
      </w:pPr>
      <w:r>
        <w:rPr>
          <w:rStyle w:val="CommentReference"/>
        </w:rPr>
        <w:annotationRef/>
      </w:r>
      <w:r w:rsidR="007437E5">
        <w:t>MDH</w:t>
      </w:r>
    </w:p>
    <w:p w14:paraId="775CA1DA" w14:textId="77777777" w:rsidR="007437E5" w:rsidRDefault="007437E5" w:rsidP="007437E5">
      <w:pPr>
        <w:pStyle w:val="CommentText"/>
      </w:pPr>
      <w:r>
        <w:t>Nationally underfunded area; patchwork of implementation.</w:t>
      </w:r>
    </w:p>
  </w:comment>
  <w:comment w:id="7" w:author="Nancy Schuldt" w:date="2026-05-21T14:25:00Z" w:initials="NS">
    <w:p w14:paraId="5D50ADE3" w14:textId="77777777" w:rsidR="002C0840" w:rsidRDefault="002C0840" w:rsidP="002C0840">
      <w:pPr>
        <w:pStyle w:val="CommentText"/>
        <w:ind w:left="40"/>
      </w:pPr>
      <w:r>
        <w:rPr>
          <w:rStyle w:val="CommentReference"/>
        </w:rPr>
        <w:annotationRef/>
      </w:r>
      <w:r>
        <w:rPr>
          <w:color w:val="000000"/>
        </w:rPr>
        <w:t>MDH</w:t>
      </w:r>
    </w:p>
    <w:p w14:paraId="6FA59714" w14:textId="77777777" w:rsidR="002C0840" w:rsidRDefault="002C0840" w:rsidP="002C0840">
      <w:pPr>
        <w:pStyle w:val="CommentText"/>
        <w:ind w:left="40"/>
      </w:pPr>
      <w:r>
        <w:rPr>
          <w:color w:val="000000"/>
        </w:rPr>
        <w:t xml:space="preserve">Work continues to grow. Rule making. Will have multiple resources needs. </w:t>
      </w:r>
    </w:p>
  </w:comment>
  <w:comment w:id="8" w:author="Nancy Schuldt" w:date="2026-05-22T11:19:00Z" w:initials="NS">
    <w:p w14:paraId="4B655D8C" w14:textId="77777777" w:rsidR="00EB5BC7" w:rsidRDefault="00917D1E" w:rsidP="00EB5BC7">
      <w:pPr>
        <w:pStyle w:val="CommentText"/>
      </w:pPr>
      <w:r>
        <w:rPr>
          <w:rStyle w:val="CommentReference"/>
        </w:rPr>
        <w:annotationRef/>
      </w:r>
      <w:r w:rsidR="00EB5BC7">
        <w:t>Julie Lucas</w:t>
      </w:r>
    </w:p>
    <w:p w14:paraId="3DDBE17F" w14:textId="77777777" w:rsidR="00EB5BC7" w:rsidRDefault="00EB5BC7" w:rsidP="00EB5BC7">
      <w:pPr>
        <w:pStyle w:val="CommentText"/>
      </w:pPr>
      <w:r>
        <w:t xml:space="preserve">Reductions for taconite operations have been researched for almost two decades - </w:t>
      </w:r>
      <w:hyperlink r:id="rId2" w:history="1">
        <w:r w:rsidRPr="00E902B2">
          <w:rPr>
            <w:rStyle w:val="Hyperlink"/>
          </w:rPr>
          <w:t>https://www.dnr.state.mn.us/lands_minerals/dnr_hg_research.html</w:t>
        </w:r>
      </w:hyperlink>
      <w:r>
        <w:t xml:space="preserve">. The industry currently has until 2029 for implementation. It is critical to note that Minnesota will continue to have mercury impairments due to the global input of mercury into our waters and wetlands. </w:t>
      </w:r>
    </w:p>
  </w:comment>
  <w:comment w:id="9" w:author="Nancy Schuldt" w:date="2026-06-04T10:38:00Z" w:initials="NS">
    <w:p w14:paraId="6D3A182D" w14:textId="77777777" w:rsidR="00E467A5" w:rsidRDefault="00E467A5" w:rsidP="00E467A5">
      <w:pPr>
        <w:pStyle w:val="CommentText"/>
      </w:pPr>
      <w:r>
        <w:rPr>
          <w:rStyle w:val="CommentReference"/>
        </w:rPr>
        <w:annotationRef/>
      </w:r>
      <w:r>
        <w:t>Minnesota will not achieve its statewide mercury reduction goals without every sector contributing their proportionate reductions.</w:t>
      </w:r>
    </w:p>
  </w:comment>
  <w:comment w:id="10" w:author="Nancy Schuldt" w:date="2026-05-21T14:31:00Z" w:initials="NS">
    <w:p w14:paraId="040CB21D" w14:textId="77777777" w:rsidR="00895A37" w:rsidRDefault="00F005ED" w:rsidP="00895A37">
      <w:pPr>
        <w:pStyle w:val="CommentText"/>
      </w:pPr>
      <w:r>
        <w:rPr>
          <w:rStyle w:val="CommentReference"/>
        </w:rPr>
        <w:annotationRef/>
      </w:r>
      <w:r w:rsidR="00895A37">
        <w:t>MDH</w:t>
      </w:r>
    </w:p>
    <w:p w14:paraId="6E2BEFBC" w14:textId="77777777" w:rsidR="00895A37" w:rsidRDefault="00895A37" w:rsidP="00895A37">
      <w:pPr>
        <w:pStyle w:val="CommentText"/>
        <w:ind w:left="40"/>
      </w:pPr>
      <w:r>
        <w:rPr>
          <w:color w:val="000000"/>
        </w:rPr>
        <w:t xml:space="preserve">Blueprint implementation estimate was under estimate. Turning off the tap is one thing but implementation and connections through the ecosystem was under considered. This is this generation’s lead/mercury (problem). </w:t>
      </w:r>
    </w:p>
  </w:comment>
  <w:comment w:id="11" w:author="Nancy Schuldt" w:date="2026-05-22T14:18:00Z" w:initials="NS">
    <w:p w14:paraId="5D4BB931" w14:textId="77777777" w:rsidR="0087377D" w:rsidRDefault="0087377D" w:rsidP="0087377D">
      <w:pPr>
        <w:pStyle w:val="CommentText"/>
      </w:pPr>
      <w:r>
        <w:rPr>
          <w:rStyle w:val="CommentReference"/>
        </w:rPr>
        <w:annotationRef/>
      </w:r>
      <w:r>
        <w:t>MPCA</w:t>
      </w:r>
    </w:p>
    <w:p w14:paraId="7C6993E7" w14:textId="77777777" w:rsidR="0087377D" w:rsidRDefault="0087377D" w:rsidP="0087377D">
      <w:pPr>
        <w:pStyle w:val="CommentText"/>
      </w:pPr>
      <w:r>
        <w:t>2024 session law already requires that biosolids sampling language be added to NPDES permits, and this work is ongoing. In addition, MPCA has authority under MN R. 7041 to require PFAS sampling of biosolids. Keeping this recommendation in the report suggests MPCA is not implementing the PFAS in Biosolids Strategy and will create confusion for the reader.</w:t>
      </w:r>
    </w:p>
  </w:comment>
  <w:comment w:id="12" w:author="Nancy Schuldt" w:date="2026-05-22T14:19:00Z" w:initials="NS">
    <w:p w14:paraId="2CB8DFCF" w14:textId="77777777" w:rsidR="00AB3AE9" w:rsidRDefault="00AB3AE9" w:rsidP="00AB3AE9">
      <w:pPr>
        <w:pStyle w:val="CommentText"/>
      </w:pPr>
      <w:r>
        <w:rPr>
          <w:rStyle w:val="CommentReference"/>
        </w:rPr>
        <w:annotationRef/>
      </w:r>
      <w:r>
        <w:t>MPCA</w:t>
      </w:r>
    </w:p>
    <w:p w14:paraId="3DDB0357" w14:textId="77777777" w:rsidR="00AB3AE9" w:rsidRDefault="00AB3AE9" w:rsidP="00AB3AE9">
      <w:pPr>
        <w:pStyle w:val="CommentText"/>
      </w:pPr>
      <w:r>
        <w:t xml:space="preserve">The MPCA is already working with MDH to consider recommendations for high vulnerability areas for Drinking Water Supply Management Areas (DWSMAs) and other like areas. We request a modification to the recommendation to remove the work we already have ongoing. </w:t>
      </w:r>
    </w:p>
  </w:comment>
  <w:comment w:id="13" w:author="Nancy Schuldt" w:date="2026-05-22T14:20:00Z" w:initials="NS">
    <w:p w14:paraId="77396091" w14:textId="77777777" w:rsidR="0029678D" w:rsidRDefault="0029678D" w:rsidP="0029678D">
      <w:pPr>
        <w:pStyle w:val="CommentText"/>
      </w:pPr>
      <w:r>
        <w:rPr>
          <w:rStyle w:val="CommentReference"/>
        </w:rPr>
        <w:annotationRef/>
      </w:r>
      <w:r>
        <w:t>MPCA</w:t>
      </w:r>
    </w:p>
    <w:p w14:paraId="0EE42460" w14:textId="77777777" w:rsidR="0029678D" w:rsidRDefault="0029678D" w:rsidP="0029678D">
      <w:pPr>
        <w:pStyle w:val="CommentText"/>
      </w:pPr>
      <w:r>
        <w:t xml:space="preserve">MPCA is not certain the science is fully developed. The technical review that is needed before we can begin rulemaking will ascertain that. </w:t>
      </w:r>
    </w:p>
  </w:comment>
  <w:comment w:id="14" w:author="Nancy Schuldt" w:date="2026-06-04T10:35:00Z" w:initials="NS">
    <w:p w14:paraId="63E56C90" w14:textId="77777777" w:rsidR="001C72F1" w:rsidRDefault="001C72F1" w:rsidP="001C72F1">
      <w:pPr>
        <w:pStyle w:val="CommentText"/>
      </w:pPr>
      <w:r>
        <w:rPr>
          <w:rStyle w:val="CommentReference"/>
        </w:rPr>
        <w:annotationRef/>
      </w:r>
      <w:r>
        <w:t>USEPA has developed and approved aquatic life standards</w:t>
      </w:r>
    </w:p>
  </w:comment>
  <w:comment w:id="15" w:author="Nancy Schuldt" w:date="2026-05-21T14:32:00Z" w:initials="NS">
    <w:p w14:paraId="74BCB527" w14:textId="53F25C8E" w:rsidR="00EF5909" w:rsidRDefault="00EF5909" w:rsidP="00EF5909">
      <w:pPr>
        <w:pStyle w:val="CommentText"/>
      </w:pPr>
      <w:r>
        <w:rPr>
          <w:rStyle w:val="CommentReference"/>
        </w:rPr>
        <w:annotationRef/>
      </w:r>
      <w:r>
        <w:t>MDH</w:t>
      </w:r>
    </w:p>
    <w:p w14:paraId="4C79A126" w14:textId="77777777" w:rsidR="00EF5909" w:rsidRDefault="00EF5909" w:rsidP="00EF5909">
      <w:pPr>
        <w:pStyle w:val="CommentText"/>
        <w:ind w:left="40"/>
      </w:pPr>
      <w:r>
        <w:rPr>
          <w:color w:val="000000"/>
        </w:rPr>
        <w:t>Solutions need to align with Safe drinking water act.</w:t>
      </w:r>
    </w:p>
  </w:comment>
  <w:comment w:id="16" w:author="Nancy Schuldt" w:date="2026-05-22T10:18:00Z" w:initials="NS">
    <w:p w14:paraId="2FAA1942" w14:textId="77777777" w:rsidR="00C1319D" w:rsidRDefault="00C1319D" w:rsidP="00C1319D">
      <w:pPr>
        <w:pStyle w:val="CommentText"/>
      </w:pPr>
      <w:r>
        <w:rPr>
          <w:rStyle w:val="CommentReference"/>
        </w:rPr>
        <w:annotationRef/>
      </w:r>
      <w:r>
        <w:t>Carly Griffith:</w:t>
      </w:r>
    </w:p>
    <w:p w14:paraId="011FE4D4" w14:textId="77777777" w:rsidR="00C1319D" w:rsidRDefault="00C1319D" w:rsidP="00C1319D">
      <w:pPr>
        <w:pStyle w:val="CommentText"/>
      </w:pPr>
      <w:r>
        <w:t>This certification program is already in place. What is needed is legislation that would limit liability for private sector businesses that use Smart Salt practices. I believe certification is already required of public sector applicators.</w:t>
      </w:r>
    </w:p>
  </w:comment>
  <w:comment w:id="17" w:author="Nancy Schuldt" w:date="2026-05-22T11:20:00Z" w:initials="NS">
    <w:p w14:paraId="4E2476AB" w14:textId="77777777" w:rsidR="00EB5BC7" w:rsidRDefault="00EB5BC7" w:rsidP="00EB5BC7">
      <w:pPr>
        <w:pStyle w:val="CommentText"/>
      </w:pPr>
      <w:r>
        <w:rPr>
          <w:rStyle w:val="CommentReference"/>
        </w:rPr>
        <w:annotationRef/>
      </w:r>
      <w:r>
        <w:t>Julie Lucas</w:t>
      </w:r>
    </w:p>
    <w:p w14:paraId="1C8F4CC7" w14:textId="77777777" w:rsidR="00EB5BC7" w:rsidRDefault="00EB5BC7" w:rsidP="00EB5BC7">
      <w:pPr>
        <w:pStyle w:val="CommentText"/>
      </w:pPr>
      <w:r>
        <w:t xml:space="preserve">The state should follow their framework related to site-specific standards - </w:t>
      </w:r>
      <w:hyperlink r:id="rId3" w:history="1">
        <w:r w:rsidRPr="00AA3974">
          <w:rPr>
            <w:rStyle w:val="Hyperlink"/>
          </w:rPr>
          <w:t>https://www.pca.state.mn.us/sites/default/files/wq-s6-66a.pdf</w:t>
        </w:r>
      </w:hyperlink>
      <w:r>
        <w:t xml:space="preserve">. </w:t>
      </w:r>
      <w:hyperlink r:id="rId4" w:history="1">
        <w:r w:rsidRPr="00AA3974">
          <w:rPr>
            <w:rStyle w:val="Hyperlink"/>
          </w:rPr>
          <w:t>https://www.revisor.mn.gov/bills/94/2025/0/SF/2086/versions/latest/</w:t>
        </w:r>
      </w:hyperlink>
      <w:r>
        <w:t xml:space="preserve"> </w:t>
      </w:r>
    </w:p>
  </w:comment>
  <w:comment w:id="18" w:author="Nancy Schuldt" w:date="2026-06-04T10:39:00Z" w:initials="NS">
    <w:p w14:paraId="2EF56ED5" w14:textId="77777777" w:rsidR="003A38B1" w:rsidRDefault="003A38B1" w:rsidP="003A38B1">
      <w:pPr>
        <w:pStyle w:val="CommentText"/>
      </w:pPr>
      <w:r>
        <w:rPr>
          <w:rStyle w:val="CommentReference"/>
        </w:rPr>
        <w:annotationRef/>
      </w:r>
      <w:r>
        <w:t xml:space="preserve">The existing sulfate standard should be implemented. Site-specific standards are appropriate only where it can be clearly demonstrated that the relevant beneficial use is fully supported at a different pollutant concentration. </w:t>
      </w:r>
    </w:p>
  </w:comment>
  <w:comment w:id="19" w:author="Nancy Schuldt" w:date="2026-05-21T14:33:00Z" w:initials="NS">
    <w:p w14:paraId="14AE056E" w14:textId="77777777" w:rsidR="00105512" w:rsidRDefault="00105512" w:rsidP="00105512">
      <w:pPr>
        <w:pStyle w:val="CommentText"/>
        <w:ind w:left="40"/>
      </w:pPr>
      <w:r>
        <w:rPr>
          <w:rStyle w:val="CommentReference"/>
        </w:rPr>
        <w:annotationRef/>
      </w:r>
      <w:r>
        <w:rPr>
          <w:color w:val="000000"/>
        </w:rPr>
        <w:t xml:space="preserve">MDH’s role is limited to risk communication. </w:t>
      </w:r>
    </w:p>
  </w:comment>
  <w:comment w:id="20" w:author="Nancy Schuldt" w:date="2026-05-21T14:09:00Z" w:initials="NS">
    <w:p w14:paraId="2E90AD90" w14:textId="5F4B8321" w:rsidR="00B112C6" w:rsidRDefault="00B112C6" w:rsidP="00B112C6">
      <w:pPr>
        <w:pStyle w:val="CommentText"/>
      </w:pPr>
      <w:r>
        <w:rPr>
          <w:rStyle w:val="CommentReference"/>
        </w:rPr>
        <w:annotationRef/>
      </w:r>
      <w:r>
        <w:rPr>
          <w:color w:val="242424"/>
        </w:rPr>
        <w:t>MDA</w:t>
      </w:r>
    </w:p>
    <w:p w14:paraId="7F5F33D1" w14:textId="77777777" w:rsidR="00B112C6" w:rsidRDefault="00B112C6" w:rsidP="00B112C6">
      <w:pPr>
        <w:pStyle w:val="CommentText"/>
      </w:pPr>
      <w:r>
        <w:rPr>
          <w:color w:val="242424"/>
        </w:rPr>
        <w:t>This is already done, see MS 18B.063</w:t>
      </w:r>
    </w:p>
    <w:p w14:paraId="4793FAC9" w14:textId="77777777" w:rsidR="00B112C6" w:rsidRDefault="00B112C6" w:rsidP="00B112C6">
      <w:pPr>
        <w:pStyle w:val="CommentText"/>
      </w:pPr>
      <w:r>
        <w:rPr>
          <w:color w:val="242424"/>
        </w:rPr>
        <w:t>(MDA tech staff understand that DNR does also)</w:t>
      </w:r>
    </w:p>
  </w:comment>
  <w:comment w:id="21" w:author="Nancy Schuldt" w:date="2026-06-04T10:41:00Z" w:initials="NS">
    <w:p w14:paraId="5AF22E99" w14:textId="77777777" w:rsidR="00EF7DD3" w:rsidRDefault="00EF7DD3" w:rsidP="00EF7DD3">
      <w:pPr>
        <w:pStyle w:val="CommentText"/>
      </w:pPr>
      <w:r>
        <w:rPr>
          <w:rStyle w:val="CommentReference"/>
        </w:rPr>
        <w:annotationRef/>
      </w:r>
      <w:r>
        <w:t>If agencies confirm, this recommendation may be removed</w:t>
      </w:r>
    </w:p>
  </w:comment>
  <w:comment w:id="22" w:author="Nancy Schuldt" w:date="2026-05-21T14:10:00Z" w:initials="NS">
    <w:p w14:paraId="1C1B3C4E" w14:textId="77777777" w:rsidR="00D35F28" w:rsidRDefault="00D35F28" w:rsidP="00D35F28">
      <w:pPr>
        <w:pStyle w:val="CommentText"/>
      </w:pPr>
      <w:r>
        <w:rPr>
          <w:rStyle w:val="CommentReference"/>
        </w:rPr>
        <w:annotationRef/>
      </w:r>
      <w:r>
        <w:rPr>
          <w:color w:val="242424"/>
        </w:rPr>
        <w:t>MDA</w:t>
      </w:r>
    </w:p>
    <w:p w14:paraId="6AF2E52D" w14:textId="77777777" w:rsidR="00D35F28" w:rsidRDefault="00D35F28" w:rsidP="00D35F28">
      <w:pPr>
        <w:pStyle w:val="CommentText"/>
      </w:pPr>
      <w:r>
        <w:rPr>
          <w:color w:val="242424"/>
        </w:rPr>
        <w:t>This is already done, see MS 18B.305 subd2</w:t>
      </w:r>
    </w:p>
  </w:comment>
  <w:comment w:id="23" w:author="Nancy Schuldt" w:date="2026-06-04T10:43:00Z" w:initials="NS">
    <w:p w14:paraId="64CCAE10" w14:textId="77777777" w:rsidR="0085430C" w:rsidRDefault="0085430C" w:rsidP="0085430C">
      <w:pPr>
        <w:pStyle w:val="CommentText"/>
      </w:pPr>
      <w:r>
        <w:rPr>
          <w:rStyle w:val="CommentReference"/>
        </w:rPr>
        <w:annotationRef/>
      </w:r>
      <w:r>
        <w:t>Consider modifying this recommendation to simple ban on pesticide/herbicide application in wild rice waters.</w:t>
      </w:r>
    </w:p>
  </w:comment>
  <w:comment w:id="24" w:author="Nancy Schuldt" w:date="2026-05-21T14:12:00Z" w:initials="NS">
    <w:p w14:paraId="394ACDBB" w14:textId="77777777" w:rsidR="005848C2" w:rsidRDefault="005848C2" w:rsidP="005848C2">
      <w:pPr>
        <w:pStyle w:val="CommentText"/>
      </w:pPr>
      <w:r>
        <w:rPr>
          <w:rStyle w:val="CommentReference"/>
        </w:rPr>
        <w:annotationRef/>
      </w:r>
      <w:r>
        <w:rPr>
          <w:color w:val="242424"/>
        </w:rPr>
        <w:t>MDA Note: Minnesota Ground Water Association has documented uncertainties of the effects of drainage on groundwater. </w:t>
      </w:r>
      <w:hyperlink r:id="rId5" w:history="1">
        <w:r w:rsidRPr="00F14CD1">
          <w:rPr>
            <w:rStyle w:val="Hyperlink"/>
          </w:rPr>
          <w:t>https://www.mgwa.org/documents/whitepapers/Drain_Tiles_and_Groundwater_Resources.pdf</w:t>
        </w:r>
      </w:hyperlink>
    </w:p>
  </w:comment>
  <w:comment w:id="25" w:author="Nancy Schuldt" w:date="2026-06-04T11:25:00Z" w:initials="NS">
    <w:p w14:paraId="4237AFE9" w14:textId="77777777" w:rsidR="00DD143C" w:rsidRDefault="0011619E" w:rsidP="00DD143C">
      <w:pPr>
        <w:pStyle w:val="CommentText"/>
      </w:pPr>
      <w:r>
        <w:rPr>
          <w:rStyle w:val="CommentReference"/>
        </w:rPr>
        <w:annotationRef/>
      </w:r>
      <w:r w:rsidR="00DD143C">
        <w:t>Disagree with the interpretation of this study; multiple effects of tile drainage on nitrate transport and disruption of denitrification cycles; accounts for 37% of nitrate delivery to surface waters (p. 26)</w:t>
      </w:r>
    </w:p>
  </w:comment>
  <w:comment w:id="26" w:author="Nancy Schuldt" w:date="2026-05-22T11:57:00Z" w:initials="NS">
    <w:p w14:paraId="7AA13FE3" w14:textId="77777777" w:rsidR="00E87523" w:rsidRDefault="00E87523" w:rsidP="00E87523">
      <w:pPr>
        <w:pStyle w:val="CommentText"/>
      </w:pPr>
      <w:r>
        <w:rPr>
          <w:rStyle w:val="CommentReference"/>
        </w:rPr>
        <w:annotationRef/>
      </w:r>
      <w:r>
        <w:t>MPCA</w:t>
      </w:r>
    </w:p>
    <w:p w14:paraId="2BB2E771" w14:textId="77777777" w:rsidR="00E87523" w:rsidRDefault="00E87523" w:rsidP="00E87523">
      <w:pPr>
        <w:pStyle w:val="CommentText"/>
      </w:pPr>
      <w:r>
        <w:t xml:space="preserve">new permitting systems require legislative action - legal authorization and funding to run the new program. </w:t>
      </w:r>
    </w:p>
  </w:comment>
  <w:comment w:id="27" w:author="Nancy Schuldt" w:date="2026-06-04T11:26:00Z" w:initials="NS">
    <w:p w14:paraId="74670F7F" w14:textId="77777777" w:rsidR="00406D28" w:rsidRDefault="00406D28" w:rsidP="00406D28">
      <w:pPr>
        <w:pStyle w:val="CommentText"/>
      </w:pPr>
      <w:r>
        <w:rPr>
          <w:rStyle w:val="CommentReference"/>
        </w:rPr>
        <w:annotationRef/>
      </w:r>
      <w:r>
        <w:t>Understood; this is a fundamental step towards reducing hydrologic and water quality impacts in agricultural areas</w:t>
      </w:r>
    </w:p>
  </w:comment>
  <w:comment w:id="28" w:author="Nancy Schuldt" w:date="2026-05-21T14:33:00Z" w:initials="NS">
    <w:p w14:paraId="09883DD9" w14:textId="77777777" w:rsidR="00FA6471" w:rsidRDefault="00FA6471" w:rsidP="00FA6471">
      <w:pPr>
        <w:pStyle w:val="CommentText"/>
        <w:ind w:left="40"/>
      </w:pPr>
      <w:r>
        <w:rPr>
          <w:rStyle w:val="CommentReference"/>
        </w:rPr>
        <w:annotationRef/>
      </w:r>
      <w:r>
        <w:rPr>
          <w:color w:val="000000"/>
        </w:rPr>
        <w:t>MDH is also a player as part of our source water protection work.</w:t>
      </w:r>
    </w:p>
  </w:comment>
  <w:comment w:id="29" w:author="Nancy Schuldt" w:date="2026-05-22T09:19:00Z" w:initials="NS">
    <w:p w14:paraId="0E8992E0" w14:textId="77777777" w:rsidR="00DA49D1" w:rsidRDefault="00DA49D1" w:rsidP="00DA49D1">
      <w:pPr>
        <w:pStyle w:val="CommentText"/>
      </w:pPr>
      <w:r>
        <w:rPr>
          <w:rStyle w:val="CommentReference"/>
        </w:rPr>
        <w:annotationRef/>
      </w:r>
      <w:r>
        <w:t>DNR</w:t>
      </w:r>
    </w:p>
    <w:p w14:paraId="1866C35E" w14:textId="77777777" w:rsidR="00DA49D1" w:rsidRDefault="00DA49D1" w:rsidP="00DA49D1">
      <w:pPr>
        <w:pStyle w:val="CommentText"/>
      </w:pPr>
      <w:r>
        <w:t>Water management in the Minnesota River Basin could benefit from an increased effort in coordination across governments and people to develop an efficient process for water management entities to plan, propose and implement efforts to address issues in the basin.</w:t>
      </w:r>
    </w:p>
  </w:comment>
  <w:comment w:id="30" w:author="Nancy Schuldt" w:date="2026-05-21T14:34:00Z" w:initials="NS">
    <w:p w14:paraId="12AAA3A7" w14:textId="77777777" w:rsidR="00110F96" w:rsidRDefault="00110F96" w:rsidP="00110F96">
      <w:pPr>
        <w:pStyle w:val="CommentText"/>
        <w:ind w:left="40"/>
      </w:pPr>
      <w:r>
        <w:rPr>
          <w:rStyle w:val="CommentReference"/>
        </w:rPr>
        <w:annotationRef/>
      </w:r>
      <w:r>
        <w:rPr>
          <w:color w:val="000000"/>
        </w:rPr>
        <w:t>MDH is also a player as part of our source water protection work.</w:t>
      </w:r>
    </w:p>
  </w:comment>
  <w:comment w:id="31" w:author="Nancy Schuldt" w:date="2026-05-21T14:34:00Z" w:initials="NS">
    <w:p w14:paraId="0C24A153" w14:textId="77777777" w:rsidR="00A44276" w:rsidRDefault="00A44276" w:rsidP="00A44276">
      <w:pPr>
        <w:pStyle w:val="CommentText"/>
        <w:ind w:left="40"/>
      </w:pPr>
      <w:r>
        <w:rPr>
          <w:rStyle w:val="CommentReference"/>
        </w:rPr>
        <w:annotationRef/>
      </w:r>
      <w:r>
        <w:rPr>
          <w:color w:val="000000"/>
        </w:rPr>
        <w:t xml:space="preserve">MDH has taken a steps to implement this within MDH (water policy center). Could be a model for the enterprise. </w:t>
      </w:r>
    </w:p>
  </w:comment>
  <w:comment w:id="32" w:author="Nancy Schuldt" w:date="2026-05-21T14:36:00Z" w:initials="NS">
    <w:p w14:paraId="12E0610C" w14:textId="77777777" w:rsidR="00AD3404" w:rsidRDefault="00AD3404" w:rsidP="00AD3404">
      <w:pPr>
        <w:pStyle w:val="CommentText"/>
        <w:ind w:left="40"/>
      </w:pPr>
      <w:r>
        <w:rPr>
          <w:rStyle w:val="CommentReference"/>
        </w:rPr>
        <w:annotationRef/>
      </w:r>
      <w:r>
        <w:rPr>
          <w:color w:val="000000"/>
        </w:rPr>
        <w:t>MDH</w:t>
      </w:r>
    </w:p>
    <w:p w14:paraId="52F6A8CB" w14:textId="77777777" w:rsidR="00AD3404" w:rsidRDefault="00AD3404" w:rsidP="00AD3404">
      <w:pPr>
        <w:pStyle w:val="CommentText"/>
        <w:ind w:left="40"/>
      </w:pPr>
      <w:r>
        <w:rPr>
          <w:color w:val="000000"/>
        </w:rPr>
        <w:t xml:space="preserve">Not a shared idea but would be great to include private well education and testing into this program. </w:t>
      </w:r>
    </w:p>
  </w:comment>
  <w:comment w:id="33" w:author="Nancy Schuldt" w:date="2026-06-04T11:28:00Z" w:initials="NS">
    <w:p w14:paraId="0AD87AEC" w14:textId="77777777" w:rsidR="00F90387" w:rsidRDefault="00F90387" w:rsidP="00F90387">
      <w:pPr>
        <w:pStyle w:val="CommentText"/>
      </w:pPr>
      <w:r>
        <w:rPr>
          <w:rStyle w:val="CommentReference"/>
        </w:rPr>
        <w:annotationRef/>
      </w:r>
      <w:r>
        <w:t>AGTF consider adding this recommendation; consistent with testimony received at Winona meeting</w:t>
      </w:r>
    </w:p>
  </w:comment>
  <w:comment w:id="34" w:author="Nancy Schuldt" w:date="2026-05-22T09:27:00Z" w:initials="NS">
    <w:p w14:paraId="348EC95E" w14:textId="77777777" w:rsidR="00184DC3" w:rsidRDefault="00184DC3" w:rsidP="00184DC3">
      <w:pPr>
        <w:pStyle w:val="CommentText"/>
      </w:pPr>
      <w:r>
        <w:rPr>
          <w:rStyle w:val="CommentReference"/>
        </w:rPr>
        <w:annotationRef/>
      </w:r>
      <w:r>
        <w:t>DNR</w:t>
      </w:r>
    </w:p>
    <w:p w14:paraId="6DF082CE" w14:textId="77777777" w:rsidR="00184DC3" w:rsidRDefault="00184DC3" w:rsidP="00184DC3">
      <w:pPr>
        <w:pStyle w:val="CommentText"/>
      </w:pPr>
      <w:r>
        <w:t>A water appropriation permit is currently required for using water from a retention basin that receives water from agricultural land runoff. If incentivizing is a goal, then an exemption for agricultural crop irrigators needing permits for using this type of water could be of use/necessary.</w:t>
      </w:r>
    </w:p>
  </w:comment>
  <w:comment w:id="35" w:author="Nancy Schuldt" w:date="2026-05-22T09:42:00Z" w:initials="NS">
    <w:p w14:paraId="0C4D2B6B" w14:textId="77777777" w:rsidR="00A548E3" w:rsidRDefault="00A548E3" w:rsidP="00A548E3">
      <w:pPr>
        <w:pStyle w:val="CommentText"/>
      </w:pPr>
      <w:r>
        <w:rPr>
          <w:rStyle w:val="CommentReference"/>
        </w:rPr>
        <w:annotationRef/>
      </w:r>
      <w:r>
        <w:t>DNR</w:t>
      </w:r>
    </w:p>
    <w:p w14:paraId="07876817" w14:textId="77777777" w:rsidR="00A548E3" w:rsidRDefault="00A548E3" w:rsidP="00A548E3">
      <w:pPr>
        <w:pStyle w:val="CommentText"/>
      </w:pPr>
      <w:r>
        <w:t xml:space="preserve">The EQB routinely assesses mandatory EAW and EIS categories and has not identified a need for a lower water appropriation threshold. </w:t>
      </w:r>
    </w:p>
    <w:p w14:paraId="70B0E104" w14:textId="77777777" w:rsidR="00A548E3" w:rsidRDefault="00A548E3" w:rsidP="00A548E3">
      <w:pPr>
        <w:pStyle w:val="CommentText"/>
      </w:pPr>
    </w:p>
    <w:p w14:paraId="4CB54C2A" w14:textId="77777777" w:rsidR="00A548E3" w:rsidRDefault="00A548E3" w:rsidP="00A548E3">
      <w:pPr>
        <w:pStyle w:val="CommentText"/>
      </w:pPr>
      <w:r>
        <w:t xml:space="preserve">2021-2025 permit data shows an average of 7-8 additional permit applications would trip this lowered threshold, which would be a considerable workload increase for the DNR as RGU (DNR currently conducts on average, 5-10 EAWs - across all project types - per year). </w:t>
      </w:r>
    </w:p>
    <w:p w14:paraId="6237CEE2" w14:textId="77777777" w:rsidR="00A548E3" w:rsidRDefault="00A548E3" w:rsidP="00A548E3">
      <w:pPr>
        <w:pStyle w:val="CommentText"/>
      </w:pPr>
    </w:p>
    <w:p w14:paraId="6CAE40E3" w14:textId="77777777" w:rsidR="00A548E3" w:rsidRDefault="00A548E3" w:rsidP="00A548E3">
      <w:pPr>
        <w:pStyle w:val="CommentText"/>
      </w:pPr>
      <w:r>
        <w:t xml:space="preserve">If the desire for additional environmental review on appropriation projects is focused on water sustainability, note that DNR is required to ensure compliance with the sustainability standard in Minn. Stat. 103G; projects at this suggested volume of use may not even need aquifer testing to ensure sustainability. </w:t>
      </w:r>
    </w:p>
  </w:comment>
  <w:comment w:id="36" w:author="Nancy Schuldt" w:date="2026-05-22T11:28:00Z" w:initials="NS">
    <w:p w14:paraId="2E11257E" w14:textId="77777777" w:rsidR="00640CC0" w:rsidRDefault="00640CC0" w:rsidP="00640CC0">
      <w:pPr>
        <w:pStyle w:val="CommentText"/>
      </w:pPr>
      <w:r>
        <w:rPr>
          <w:rStyle w:val="CommentReference"/>
        </w:rPr>
        <w:annotationRef/>
      </w:r>
      <w:r>
        <w:t>Julie Lucas</w:t>
      </w:r>
    </w:p>
    <w:p w14:paraId="5BB89991" w14:textId="77777777" w:rsidR="00640CC0" w:rsidRDefault="00640CC0" w:rsidP="00640CC0">
      <w:pPr>
        <w:pStyle w:val="CommentText"/>
      </w:pPr>
      <w:r>
        <w:t>This would lower the requirement from &gt;695 gpm to &gt;185 gpm which is a substantial difference. What would be the expected increase in workload for the DNR and why was this number chosen? Is this a data center issue?</w:t>
      </w:r>
    </w:p>
  </w:comment>
  <w:comment w:id="37" w:author="Nancy Schuldt" w:date="2026-05-21T14:37:00Z" w:initials="NS">
    <w:p w14:paraId="257F1E8B" w14:textId="77777777" w:rsidR="005F418E" w:rsidRDefault="005F418E" w:rsidP="005F418E">
      <w:pPr>
        <w:pStyle w:val="CommentText"/>
        <w:ind w:left="40"/>
      </w:pPr>
      <w:r>
        <w:rPr>
          <w:rStyle w:val="CommentReference"/>
        </w:rPr>
        <w:annotationRef/>
      </w:r>
      <w:r>
        <w:rPr>
          <w:color w:val="000000"/>
        </w:rPr>
        <w:t>MDH</w:t>
      </w:r>
    </w:p>
    <w:p w14:paraId="23E0803F" w14:textId="77777777" w:rsidR="005F418E" w:rsidRDefault="005F418E" w:rsidP="005F418E">
      <w:pPr>
        <w:pStyle w:val="CommentText"/>
        <w:ind w:left="40"/>
      </w:pPr>
      <w:r>
        <w:rPr>
          <w:color w:val="000000"/>
        </w:rPr>
        <w:t xml:space="preserve">Large volume water users have the potential to also impact drinking water quality and availability. </w:t>
      </w:r>
    </w:p>
  </w:comment>
  <w:comment w:id="38" w:author="Nancy Schuldt" w:date="2026-05-22T09:43:00Z" w:initials="NS">
    <w:p w14:paraId="22A6D71F" w14:textId="77777777" w:rsidR="007D6EAF" w:rsidRDefault="007D6EAF" w:rsidP="007D6EAF">
      <w:pPr>
        <w:pStyle w:val="CommentText"/>
      </w:pPr>
      <w:r>
        <w:rPr>
          <w:rStyle w:val="CommentReference"/>
        </w:rPr>
        <w:annotationRef/>
      </w:r>
      <w:r>
        <w:t>DNR</w:t>
      </w:r>
    </w:p>
    <w:p w14:paraId="01D2A103" w14:textId="77777777" w:rsidR="007D6EAF" w:rsidRDefault="007D6EAF" w:rsidP="007D6EAF">
      <w:pPr>
        <w:pStyle w:val="CommentText"/>
      </w:pPr>
      <w:r>
        <w:t xml:space="preserve">This would require additional staff resources for DNR for the review of additional plan updates (and require statutory change). Presumably would involve a significant workload increase for municipalities (to update plans) as well. </w:t>
      </w:r>
    </w:p>
  </w:comment>
  <w:comment w:id="39" w:author="Nancy Schuldt" w:date="2026-05-22T09:44:00Z" w:initials="NS">
    <w:p w14:paraId="516111E2" w14:textId="77777777" w:rsidR="00F721C3" w:rsidRDefault="00F721C3" w:rsidP="00F721C3">
      <w:pPr>
        <w:pStyle w:val="CommentText"/>
      </w:pPr>
      <w:r>
        <w:rPr>
          <w:rStyle w:val="CommentReference"/>
        </w:rPr>
        <w:annotationRef/>
      </w:r>
      <w:r>
        <w:t>DNR</w:t>
      </w:r>
    </w:p>
    <w:p w14:paraId="73A3663F" w14:textId="77777777" w:rsidR="00F721C3" w:rsidRDefault="00F721C3" w:rsidP="00F721C3">
      <w:pPr>
        <w:pStyle w:val="CommentText"/>
      </w:pPr>
      <w:r>
        <w:t>A separate permit for an entity that is a customer of a municipality will require significant reprogramming of DNR's online permitting system and introduces new questions about compliance and enforcement actions.</w:t>
      </w:r>
    </w:p>
  </w:comment>
  <w:comment w:id="40" w:author="Nancy Schuldt" w:date="2026-05-22T09:45:00Z" w:initials="NS">
    <w:p w14:paraId="3020513F" w14:textId="77777777" w:rsidR="00ED6022" w:rsidRDefault="00ED6022" w:rsidP="00ED6022">
      <w:pPr>
        <w:pStyle w:val="CommentText"/>
      </w:pPr>
      <w:r>
        <w:rPr>
          <w:rStyle w:val="CommentReference"/>
        </w:rPr>
        <w:annotationRef/>
      </w:r>
      <w:r>
        <w:t>DNR</w:t>
      </w:r>
    </w:p>
    <w:p w14:paraId="48A3E9CA" w14:textId="77777777" w:rsidR="00ED6022" w:rsidRDefault="00ED6022" w:rsidP="00ED6022">
      <w:pPr>
        <w:pStyle w:val="CommentText"/>
      </w:pPr>
      <w:r>
        <w:t>DNR has observed that water appropriation reporting data submitted from permit holders is  an area that needs improvement. Many permit holders use pump rating and electric bills to calculate water used. This can be very inaccurate depending on the performance of the pump. Increasing the accuracy of permit holder submitted data is long term effort worth considering.</w:t>
      </w:r>
    </w:p>
  </w:comment>
  <w:comment w:id="41" w:author="Nancy Schuldt" w:date="2026-05-22T09:45:00Z" w:initials="NS">
    <w:p w14:paraId="6E803873" w14:textId="77777777" w:rsidR="00856345" w:rsidRDefault="00856345" w:rsidP="00856345">
      <w:pPr>
        <w:pStyle w:val="CommentText"/>
      </w:pPr>
      <w:r>
        <w:rPr>
          <w:rStyle w:val="CommentReference"/>
        </w:rPr>
        <w:annotationRef/>
      </w:r>
      <w:r>
        <w:t>DNR</w:t>
      </w:r>
    </w:p>
    <w:p w14:paraId="06F3DA7C" w14:textId="77777777" w:rsidR="00856345" w:rsidRDefault="00856345" w:rsidP="00856345">
      <w:pPr>
        <w:pStyle w:val="CommentText"/>
      </w:pPr>
      <w:r>
        <w:t>Creating new structures could be time consuming/costly and could, at least initially, cause some confusion in governance. Investing in a modeling or availability study may help to inform further decisions for the foreseeable future.  UMRBA could be a useful collaborator/model for surface water</w:t>
      </w:r>
    </w:p>
  </w:comment>
  <w:comment w:id="42" w:author="Nancy Schuldt" w:date="2026-05-22T09:46:00Z" w:initials="NS">
    <w:p w14:paraId="2EA43411" w14:textId="77777777" w:rsidR="000F585B" w:rsidRDefault="005157ED" w:rsidP="000F585B">
      <w:pPr>
        <w:pStyle w:val="CommentText"/>
      </w:pPr>
      <w:r>
        <w:rPr>
          <w:rStyle w:val="CommentReference"/>
        </w:rPr>
        <w:annotationRef/>
      </w:r>
      <w:r w:rsidR="000F585B">
        <w:t>DNR</w:t>
      </w:r>
    </w:p>
    <w:p w14:paraId="6C6E3449" w14:textId="77777777" w:rsidR="000F585B" w:rsidRDefault="000F585B" w:rsidP="000F585B">
      <w:pPr>
        <w:pStyle w:val="CommentText"/>
      </w:pPr>
      <w:r>
        <w:t xml:space="preserve">there is a later recommendation that speaks directly to the 103G.271 fee structure (which was increased in the 2025 legislative session); it's not entirely clear if this recommendation also means to address that fee structure by referring to "bulk rates" and "rate structure." </w:t>
      </w:r>
    </w:p>
    <w:p w14:paraId="5AD8B2A1" w14:textId="77777777" w:rsidR="000F585B" w:rsidRDefault="000F585B" w:rsidP="000F585B">
      <w:pPr>
        <w:pStyle w:val="CommentText"/>
      </w:pPr>
    </w:p>
    <w:p w14:paraId="4649A9B9" w14:textId="77777777" w:rsidR="000F585B" w:rsidRDefault="000F585B" w:rsidP="000F585B">
      <w:pPr>
        <w:pStyle w:val="CommentText"/>
      </w:pPr>
      <w:r>
        <w:t>Note that funds collected under 103G.271 (and 103G.301) are deposited to the water management account which must be used to administer chapter 103G. Arguably, it could be possible to use some funds in the account to improve rate and volume reporting/metering technology but that would presumably require a specific appropriation from the account (and potentially additional resources for administration of such a program?)</w:t>
      </w:r>
    </w:p>
    <w:p w14:paraId="1300F2E1" w14:textId="77777777" w:rsidR="000F585B" w:rsidRDefault="000F585B" w:rsidP="000F585B">
      <w:pPr>
        <w:pStyle w:val="CommentText"/>
      </w:pPr>
    </w:p>
    <w:p w14:paraId="7A5B7013" w14:textId="77777777" w:rsidR="000F585B" w:rsidRDefault="000F585B" w:rsidP="000F585B">
      <w:pPr>
        <w:pStyle w:val="CommentText"/>
      </w:pPr>
      <w:r>
        <w:t xml:space="preserve">Real-time flow meter data would also require substantial IT investment to receive and store the data and significant staff capacity would be needed to review the data for accuracy and "publish the data". </w:t>
      </w:r>
    </w:p>
  </w:comment>
  <w:comment w:id="43" w:author="Nancy Schuldt" w:date="2026-05-21T14:37:00Z" w:initials="NS">
    <w:p w14:paraId="0E396F74" w14:textId="77777777" w:rsidR="00EA4AFF" w:rsidRDefault="00EA4AFF" w:rsidP="00EA4AFF">
      <w:pPr>
        <w:pStyle w:val="CommentText"/>
        <w:ind w:left="40"/>
      </w:pPr>
      <w:r>
        <w:rPr>
          <w:rStyle w:val="CommentReference"/>
        </w:rPr>
        <w:annotationRef/>
      </w:r>
      <w:r>
        <w:rPr>
          <w:color w:val="000000"/>
        </w:rPr>
        <w:t xml:space="preserve">Topics 3-6 were discussed in House Environmental / State &amp; Local Gov’t hearings this session. </w:t>
      </w:r>
    </w:p>
  </w:comment>
  <w:comment w:id="44" w:author="Nancy Schuldt" w:date="2026-05-21T14:38:00Z" w:initials="NS">
    <w:p w14:paraId="453E19CA" w14:textId="77777777" w:rsidR="00B45667" w:rsidRDefault="00B45667" w:rsidP="00B45667">
      <w:pPr>
        <w:pStyle w:val="CommentText"/>
        <w:ind w:left="40"/>
      </w:pPr>
      <w:r>
        <w:rPr>
          <w:rStyle w:val="CommentReference"/>
        </w:rPr>
        <w:annotationRef/>
      </w:r>
      <w:r>
        <w:rPr>
          <w:color w:val="000000"/>
        </w:rPr>
        <w:t>MDH</w:t>
      </w:r>
    </w:p>
    <w:p w14:paraId="27FC6299" w14:textId="77777777" w:rsidR="00B45667" w:rsidRDefault="00B45667" w:rsidP="00B45667">
      <w:pPr>
        <w:pStyle w:val="CommentText"/>
        <w:ind w:left="40"/>
      </w:pPr>
      <w:r>
        <w:rPr>
          <w:color w:val="000000"/>
        </w:rPr>
        <w:t xml:space="preserve">Funding for this group is highly precarious and their expertise is used by MPCA, MDH and DNR. Well Management uses their resources directly. Technical support, data review. Interpret risk as related to geology. </w:t>
      </w:r>
    </w:p>
  </w:comment>
  <w:comment w:id="45" w:author="Nancy Schuldt" w:date="2026-05-21T14:38:00Z" w:initials="NS">
    <w:p w14:paraId="2486642C" w14:textId="77777777" w:rsidR="00675B3F" w:rsidRDefault="00675B3F" w:rsidP="00675B3F">
      <w:pPr>
        <w:pStyle w:val="CommentText"/>
      </w:pPr>
      <w:r>
        <w:rPr>
          <w:rStyle w:val="CommentReference"/>
        </w:rPr>
        <w:annotationRef/>
      </w:r>
      <w:r>
        <w:t>MDH</w:t>
      </w:r>
    </w:p>
    <w:p w14:paraId="0E0ED301" w14:textId="77777777" w:rsidR="00675B3F" w:rsidRDefault="00675B3F" w:rsidP="00675B3F">
      <w:pPr>
        <w:pStyle w:val="CommentText"/>
        <w:ind w:left="40"/>
      </w:pPr>
      <w:r>
        <w:rPr>
          <w:color w:val="000000"/>
        </w:rPr>
        <w:t xml:space="preserve">Also should note public utilities also need to be held to these standards. </w:t>
      </w:r>
    </w:p>
  </w:comment>
  <w:comment w:id="46" w:author="Nancy Schuldt" w:date="2026-05-22T14:07:00Z" w:initials="NS">
    <w:p w14:paraId="5D66C5E8" w14:textId="77777777" w:rsidR="00732A0C" w:rsidRDefault="00732A0C" w:rsidP="00732A0C">
      <w:pPr>
        <w:pStyle w:val="CommentText"/>
      </w:pPr>
      <w:r>
        <w:rPr>
          <w:rStyle w:val="CommentReference"/>
        </w:rPr>
        <w:annotationRef/>
      </w:r>
      <w:r>
        <w:t>MPCA</w:t>
      </w:r>
    </w:p>
    <w:p w14:paraId="47B1C65F" w14:textId="77777777" w:rsidR="00732A0C" w:rsidRDefault="00732A0C" w:rsidP="00732A0C">
      <w:pPr>
        <w:pStyle w:val="CommentText"/>
      </w:pPr>
      <w:r>
        <w:t xml:space="preserve">Some mention is giving to ag tile drainage, but need to step back and talk about the drainage of agricultural and forested lands since the late 1880s from developing of artificial drainage networks. MPCA developed a map of altered water courses, which the data is found here </w:t>
      </w:r>
      <w:hyperlink r:id="rId6" w:history="1">
        <w:r w:rsidRPr="006107C5">
          <w:rPr>
            <w:rStyle w:val="Hyperlink"/>
          </w:rPr>
          <w:t>Statewide Altered Watercourse Project - Resources - Minnesota Geospatial Commons</w:t>
        </w:r>
      </w:hyperlink>
      <w:r>
        <w:t xml:space="preserve"> and resource page on MPCA’s website here </w:t>
      </w:r>
      <w:hyperlink r:id="rId7" w:history="1">
        <w:r w:rsidRPr="006107C5">
          <w:rPr>
            <w:rStyle w:val="Hyperlink"/>
          </w:rPr>
          <w:t>The impact of altered watercourses | Minnesota Pollution Control Agency</w:t>
        </w:r>
      </w:hyperlink>
    </w:p>
  </w:comment>
  <w:comment w:id="47" w:author="Nancy Schuldt" w:date="2026-05-21T14:13:00Z" w:initials="NS">
    <w:p w14:paraId="48F4057B" w14:textId="77777777" w:rsidR="00ED7716" w:rsidRDefault="00ED7716" w:rsidP="00ED7716">
      <w:pPr>
        <w:pStyle w:val="CommentText"/>
      </w:pPr>
      <w:r>
        <w:rPr>
          <w:rStyle w:val="CommentReference"/>
        </w:rPr>
        <w:annotationRef/>
      </w:r>
      <w:r>
        <w:rPr>
          <w:color w:val="242424"/>
        </w:rPr>
        <w:t>Note: Minnesota Ground Water Association has documented uncertainties of the effects of drainage on groundwater. </w:t>
      </w:r>
      <w:hyperlink r:id="rId8" w:history="1">
        <w:r w:rsidRPr="00FF53A9">
          <w:rPr>
            <w:rStyle w:val="Hyperlink"/>
          </w:rPr>
          <w:t>https://www.mgwa.org/documents/whitepapers/Drain_Tiles_and_Groundwater_Resources.pdf</w:t>
        </w:r>
      </w:hyperlink>
    </w:p>
  </w:comment>
  <w:comment w:id="48" w:author="Nancy Schuldt" w:date="2026-06-04T11:34:00Z" w:initials="NS">
    <w:p w14:paraId="59D51721" w14:textId="77777777" w:rsidR="006950ED" w:rsidRDefault="006950ED" w:rsidP="006950ED">
      <w:pPr>
        <w:pStyle w:val="CommentText"/>
      </w:pPr>
      <w:r>
        <w:rPr>
          <w:rStyle w:val="CommentReference"/>
        </w:rPr>
        <w:annotationRef/>
      </w:r>
      <w:r>
        <w:t>See response on page 4</w:t>
      </w:r>
    </w:p>
  </w:comment>
  <w:comment w:id="49" w:author="Nancy Schuldt" w:date="2026-05-22T11:53:00Z" w:initials="NS">
    <w:p w14:paraId="69EE72A2" w14:textId="77777777" w:rsidR="00210F65" w:rsidRDefault="00E30BB2" w:rsidP="00210F65">
      <w:pPr>
        <w:pStyle w:val="CommentText"/>
      </w:pPr>
      <w:r>
        <w:rPr>
          <w:rStyle w:val="CommentReference"/>
        </w:rPr>
        <w:annotationRef/>
      </w:r>
      <w:r w:rsidR="00210F65">
        <w:t>MPCA</w:t>
      </w:r>
    </w:p>
    <w:p w14:paraId="65C60CF7" w14:textId="77777777" w:rsidR="00210F65" w:rsidRDefault="00210F65" w:rsidP="00210F65">
      <w:pPr>
        <w:pStyle w:val="CommentText"/>
      </w:pPr>
      <w:r>
        <w:t xml:space="preserve">One of the guiding principles of the 2025 Minnesota Nutrient Reduction Strategy was to incorporate NRS guidance into the existing Minnesota Water Management Framework for use in local watershed work. Chapter 3 provided extensive analysis and detail as to how local water quality goals could be met while also meeting downstream nutrient reduction goals. Chapter 6 lays out how the Water Management Framework functions and where the NRS can be used in local planning. Multiple watershed-specific tools (i.e. BMP Effects Estimation Tool—Planner and Tracker) have been developed in concert with the 2025 MN NRS to aid in that work, and guidance developed by MPCA and BWSR for application of the NRS into local watershed plans is under development and should be available by the end of 2026. </w:t>
      </w:r>
    </w:p>
  </w:comment>
  <w:comment w:id="50" w:author="Nancy Schuldt" w:date="2026-05-22T13:57:00Z" w:initials="NS">
    <w:p w14:paraId="50B07980" w14:textId="77777777" w:rsidR="00107C15" w:rsidRDefault="00107C15" w:rsidP="00107C15">
      <w:pPr>
        <w:pStyle w:val="CommentText"/>
      </w:pPr>
      <w:r>
        <w:rPr>
          <w:rStyle w:val="CommentReference"/>
        </w:rPr>
        <w:annotationRef/>
      </w:r>
      <w:r>
        <w:t>MPCA</w:t>
      </w:r>
    </w:p>
    <w:p w14:paraId="2047446C" w14:textId="77777777" w:rsidR="00107C15" w:rsidRDefault="00107C15" w:rsidP="00107C15">
      <w:pPr>
        <w:pStyle w:val="CommentText"/>
      </w:pPr>
      <w:r>
        <w:rPr>
          <w:color w:val="000000"/>
        </w:rPr>
        <w:t xml:space="preserve">please include continuous living cover in the list of agricultural best management practices—for extensive resources on agriculture BMPs, please see Appendices 5-1 and 5-2 in the 2025 NRS. These documents provide an exhaustive review, conducted by University of Minnesota researchers, on the effectiveness of agriculture practices on reducing nitrogen and phosphorus: </w:t>
      </w:r>
      <w:hyperlink r:id="rId9" w:history="1">
        <w:r w:rsidRPr="00A96A28">
          <w:rPr>
            <w:rStyle w:val="Hyperlink"/>
          </w:rPr>
          <w:t>https://www.pca.state.mn.us/sites/default/files/wq-s1-87k.pdf</w:t>
        </w:r>
      </w:hyperlink>
      <w:r>
        <w:rPr>
          <w:color w:val="000000"/>
        </w:rPr>
        <w:t>   </w:t>
      </w:r>
    </w:p>
  </w:comment>
  <w:comment w:id="51" w:author="Nancy Schuldt" w:date="2026-05-21T14:45:00Z" w:initials="NS">
    <w:p w14:paraId="5DDFA9FD" w14:textId="77777777" w:rsidR="00953AC1" w:rsidRDefault="00953AC1" w:rsidP="00953AC1">
      <w:pPr>
        <w:pStyle w:val="CommentText"/>
      </w:pPr>
      <w:r>
        <w:rPr>
          <w:rStyle w:val="CommentReference"/>
        </w:rPr>
        <w:annotationRef/>
      </w:r>
      <w:r>
        <w:t>MDH</w:t>
      </w:r>
    </w:p>
    <w:p w14:paraId="10B1D99C" w14:textId="77777777" w:rsidR="00953AC1" w:rsidRDefault="00953AC1" w:rsidP="00953AC1">
      <w:pPr>
        <w:pStyle w:val="CommentText"/>
        <w:ind w:left="40"/>
      </w:pPr>
      <w:r>
        <w:rPr>
          <w:color w:val="000000"/>
        </w:rPr>
        <w:t>Who would lead this work and what resources would be needed?</w:t>
      </w:r>
    </w:p>
  </w:comment>
  <w:comment w:id="52" w:author="Nancy Schuldt" w:date="2026-05-21T14:46:00Z" w:initials="NS">
    <w:p w14:paraId="78196E9B" w14:textId="77777777" w:rsidR="008F0C9F" w:rsidRDefault="008F0C9F" w:rsidP="008F0C9F">
      <w:pPr>
        <w:pStyle w:val="CommentText"/>
      </w:pPr>
      <w:r>
        <w:rPr>
          <w:rStyle w:val="CommentReference"/>
        </w:rPr>
        <w:annotationRef/>
      </w:r>
      <w:r>
        <w:t>MDH</w:t>
      </w:r>
    </w:p>
    <w:p w14:paraId="5D42F389" w14:textId="77777777" w:rsidR="008F0C9F" w:rsidRDefault="008F0C9F" w:rsidP="008F0C9F">
      <w:pPr>
        <w:pStyle w:val="CommentText"/>
        <w:ind w:left="40"/>
      </w:pPr>
      <w:r>
        <w:rPr>
          <w:color w:val="000000"/>
        </w:rPr>
        <w:t xml:space="preserve">Seeing initiative happening that are taking more resources in source water protection. Already under resourced to complete current work load. </w:t>
      </w:r>
    </w:p>
  </w:comment>
  <w:comment w:id="54" w:author="Nancy Schuldt" w:date="2026-05-21T14:14:00Z" w:initials="NS">
    <w:p w14:paraId="7611FAA8" w14:textId="77777777" w:rsidR="007E57C5" w:rsidRDefault="007E57C5" w:rsidP="007E57C5">
      <w:pPr>
        <w:pStyle w:val="CommentText"/>
      </w:pPr>
      <w:r>
        <w:rPr>
          <w:rStyle w:val="CommentReference"/>
        </w:rPr>
        <w:annotationRef/>
      </w:r>
      <w:r>
        <w:rPr>
          <w:color w:val="242424"/>
        </w:rPr>
        <w:t>MDA</w:t>
      </w:r>
    </w:p>
    <w:p w14:paraId="66A08054" w14:textId="77777777" w:rsidR="007E57C5" w:rsidRDefault="007E57C5" w:rsidP="007E57C5">
      <w:pPr>
        <w:pStyle w:val="CommentText"/>
      </w:pPr>
      <w:r>
        <w:rPr>
          <w:color w:val="242424"/>
        </w:rPr>
        <w:t>Note: This is currently in litigation. Comment and recommendation in AGO process may not be appropriate.</w:t>
      </w:r>
    </w:p>
  </w:comment>
  <w:comment w:id="53" w:author="Nancy Schuldt" w:date="2026-05-22T14:15:00Z" w:initials="NS">
    <w:p w14:paraId="13EF5120" w14:textId="77777777" w:rsidR="00B07864" w:rsidRDefault="00B07864" w:rsidP="00B07864">
      <w:pPr>
        <w:pStyle w:val="CommentText"/>
      </w:pPr>
      <w:r>
        <w:rPr>
          <w:rStyle w:val="CommentReference"/>
        </w:rPr>
        <w:annotationRef/>
      </w:r>
      <w:r>
        <w:t>MPCA</w:t>
      </w:r>
    </w:p>
    <w:p w14:paraId="53D7857E" w14:textId="77777777" w:rsidR="00B07864" w:rsidRDefault="00B07864" w:rsidP="00B07864">
      <w:pPr>
        <w:pStyle w:val="CommentText"/>
      </w:pPr>
      <w:hyperlink r:id="rId10" w:history="1">
        <w:r w:rsidRPr="00375B7D">
          <w:rPr>
            <w:rStyle w:val="Hyperlink"/>
          </w:rPr>
          <w:t>Feedlots rules</w:t>
        </w:r>
      </w:hyperlink>
      <w:r>
        <w:t xml:space="preserve"> already require nutrient management plans. The MPCA is in the process of updating the state Feedlot rules. The topics of reviewing restrictions on manure application in vulnerable groundwater areas, setbacks, and best management practices are in the scope of this rule review. This report shouldn’t propose recommendations for rules under review. Instead, the report authors should participate in the rule revision process and send comments, suggestions, and recommendations directly to the MPCA during public comment periods. </w:t>
      </w:r>
    </w:p>
  </w:comment>
  <w:comment w:id="55" w:author="Nancy Schuldt" w:date="2026-05-22T11:30:00Z" w:initials="NS">
    <w:p w14:paraId="2D0E4527" w14:textId="77777777" w:rsidR="00761D0E" w:rsidRDefault="006D5EEE" w:rsidP="00761D0E">
      <w:pPr>
        <w:pStyle w:val="CommentText"/>
      </w:pPr>
      <w:r>
        <w:rPr>
          <w:rStyle w:val="CommentReference"/>
        </w:rPr>
        <w:annotationRef/>
      </w:r>
      <w:r w:rsidR="00761D0E">
        <w:t>Julie Lucas</w:t>
      </w:r>
    </w:p>
    <w:p w14:paraId="1A989816" w14:textId="77777777" w:rsidR="00761D0E" w:rsidRDefault="00761D0E" w:rsidP="00761D0E">
      <w:pPr>
        <w:pStyle w:val="CommentText"/>
      </w:pPr>
      <w:r>
        <w:t>How would this fit into our state’s other environmental regulations?</w:t>
      </w:r>
    </w:p>
  </w:comment>
  <w:comment w:id="56" w:author="Nancy Schuldt" w:date="2026-06-04T11:40:00Z" w:initials="NS">
    <w:p w14:paraId="0A4B254C" w14:textId="77777777" w:rsidR="005F3460" w:rsidRDefault="005F3460" w:rsidP="005F3460">
      <w:pPr>
        <w:pStyle w:val="CommentText"/>
      </w:pPr>
      <w:r>
        <w:rPr>
          <w:rStyle w:val="CommentReference"/>
        </w:rPr>
        <w:annotationRef/>
      </w:r>
      <w:r>
        <w:t>Environmental review processes already require socioeconomic analysis. This recommendation specifically urges more holistic consideration of socioeconomic impacts, building upon the strong foundation of analytic methods and approaches developed by UM (i.e., Polonsky, Keeler, Davenport)</w:t>
      </w:r>
    </w:p>
  </w:comment>
  <w:comment w:id="57" w:author="Nancy Schuldt" w:date="2026-05-21T14:47:00Z" w:initials="NS">
    <w:p w14:paraId="3381DBBE" w14:textId="191D08D8" w:rsidR="0061001D" w:rsidRDefault="0061001D" w:rsidP="0061001D">
      <w:pPr>
        <w:pStyle w:val="CommentText"/>
      </w:pPr>
      <w:r>
        <w:rPr>
          <w:rStyle w:val="CommentReference"/>
        </w:rPr>
        <w:annotationRef/>
      </w:r>
      <w:r>
        <w:t>MDH</w:t>
      </w:r>
    </w:p>
    <w:p w14:paraId="31E43111" w14:textId="77777777" w:rsidR="0061001D" w:rsidRDefault="0061001D" w:rsidP="0061001D">
      <w:pPr>
        <w:pStyle w:val="CommentText"/>
        <w:ind w:left="40"/>
      </w:pPr>
      <w:r>
        <w:rPr>
          <w:color w:val="000000"/>
        </w:rPr>
        <w:t xml:space="preserve">Only MDH association with this area is source water protection. DNR is the lead agency. </w:t>
      </w:r>
    </w:p>
  </w:comment>
  <w:comment w:id="58" w:author="Nancy Schuldt" w:date="2026-05-22T11:31:00Z" w:initials="NS">
    <w:p w14:paraId="78A36BA8" w14:textId="77777777" w:rsidR="00232391" w:rsidRDefault="00232391" w:rsidP="00232391">
      <w:pPr>
        <w:pStyle w:val="CommentText"/>
      </w:pPr>
      <w:r>
        <w:rPr>
          <w:rStyle w:val="CommentReference"/>
        </w:rPr>
        <w:annotationRef/>
      </w:r>
      <w:r>
        <w:t>Julie Lucas</w:t>
      </w:r>
    </w:p>
    <w:p w14:paraId="2DCDB31F" w14:textId="77777777" w:rsidR="00232391" w:rsidRDefault="00232391" w:rsidP="00232391">
      <w:pPr>
        <w:pStyle w:val="CommentText"/>
      </w:pPr>
      <w:r>
        <w:t>The DNR Commissioner doesn’t have authority over the other issued permits, or the WQS. How would this be beneficial?</w:t>
      </w:r>
    </w:p>
  </w:comment>
  <w:comment w:id="59" w:author="Nancy Schuldt" w:date="2026-06-04T11:44:00Z" w:initials="NS">
    <w:p w14:paraId="0594A44A" w14:textId="77777777" w:rsidR="005F26E3" w:rsidRDefault="005F26E3" w:rsidP="005F26E3">
      <w:pPr>
        <w:pStyle w:val="CommentText"/>
      </w:pPr>
      <w:r>
        <w:rPr>
          <w:rStyle w:val="CommentReference"/>
        </w:rPr>
        <w:annotationRef/>
      </w:r>
      <w:r>
        <w:t>This is already a requirement. There are inconsistencies in its implementation (i.e., compliance with MN WQS, which entails MPCA permitting and/or water quality certification under CWA Section 401)</w:t>
      </w:r>
    </w:p>
  </w:comment>
  <w:comment w:id="60" w:author="Nancy Schuldt" w:date="2026-05-22T09:49:00Z" w:initials="NS">
    <w:p w14:paraId="1D938F26" w14:textId="77777777" w:rsidR="00045069" w:rsidRDefault="00AA448F" w:rsidP="00045069">
      <w:pPr>
        <w:pStyle w:val="CommentText"/>
      </w:pPr>
      <w:r>
        <w:rPr>
          <w:rStyle w:val="CommentReference"/>
        </w:rPr>
        <w:annotationRef/>
      </w:r>
      <w:r w:rsidR="00045069">
        <w:t>DNR</w:t>
      </w:r>
    </w:p>
    <w:p w14:paraId="40E7579B" w14:textId="77777777" w:rsidR="00045069" w:rsidRDefault="00045069" w:rsidP="00045069">
      <w:pPr>
        <w:pStyle w:val="CommentText"/>
      </w:pPr>
      <w:r>
        <w:t>The task force should not arbitrarily determine which litigation needs to be supported.  While it is true that industry does initiate litigation with state agencies, the vast majority of mining related litigation is initiated by environmental groups that are challenging agency decisions.  Regardless of the source, mining-related litigation has significantly increased over the past decade, often diverting agency resources away from core activities to defend agency decisions.  The DNR and AG’s Office must defend those decisions regardless of the source of the litigation.</w:t>
      </w:r>
    </w:p>
    <w:p w14:paraId="0618B4FF" w14:textId="77777777" w:rsidR="00045069" w:rsidRDefault="00045069" w:rsidP="00045069">
      <w:pPr>
        <w:pStyle w:val="CommentText"/>
      </w:pPr>
    </w:p>
    <w:p w14:paraId="7CE44C63" w14:textId="77777777" w:rsidR="00045069" w:rsidRDefault="00045069" w:rsidP="00045069">
      <w:pPr>
        <w:pStyle w:val="CommentText"/>
      </w:pPr>
      <w:r>
        <w:t>Julie Lucas</w:t>
      </w:r>
    </w:p>
    <w:p w14:paraId="5BFDB423" w14:textId="77777777" w:rsidR="00045069" w:rsidRDefault="00045069" w:rsidP="00045069">
      <w:pPr>
        <w:pStyle w:val="CommentText"/>
      </w:pPr>
      <w:r>
        <w:t xml:space="preserve">The vast majority of lawsuits arise from NGOs, not the industry. </w:t>
      </w:r>
    </w:p>
  </w:comment>
  <w:comment w:id="61" w:author="Nancy Schuldt" w:date="2026-05-22T09:53:00Z" w:initials="NS">
    <w:p w14:paraId="39E3051D" w14:textId="77777777" w:rsidR="00D84678" w:rsidRDefault="00E742F1" w:rsidP="00D84678">
      <w:pPr>
        <w:pStyle w:val="CommentText"/>
      </w:pPr>
      <w:r>
        <w:rPr>
          <w:rStyle w:val="CommentReference"/>
        </w:rPr>
        <w:annotationRef/>
      </w:r>
      <w:r w:rsidR="00D84678">
        <w:t>DNR</w:t>
      </w:r>
    </w:p>
    <w:p w14:paraId="55480984" w14:textId="77777777" w:rsidR="00D84678" w:rsidRDefault="00D84678" w:rsidP="00D84678">
      <w:pPr>
        <w:pStyle w:val="CommentText"/>
      </w:pPr>
      <w:r>
        <w:t>We recommend removing the examples here as they are vague and could confuse the public.  Dry tailings management, for example, may be a viable tailings storage method in some arid parts of the country but it has not been fully studied for its safety and viability in a wet climate like Minnesota.  If it was proposed in Minnesota, the current regulatory process would fully evaluate the viability. The DNR does not have authority to manage hazardous waste or carbon emissions from mining facilities.  Those are regulated by the MPCA in accordance with state and federal law.</w:t>
      </w:r>
    </w:p>
    <w:p w14:paraId="47A200F1" w14:textId="77777777" w:rsidR="00D84678" w:rsidRDefault="00D84678" w:rsidP="00D84678">
      <w:pPr>
        <w:pStyle w:val="CommentText"/>
      </w:pPr>
    </w:p>
    <w:p w14:paraId="2D0AFE49" w14:textId="77777777" w:rsidR="00D84678" w:rsidRDefault="00D84678" w:rsidP="00D84678">
      <w:pPr>
        <w:pStyle w:val="CommentText"/>
      </w:pPr>
      <w:r>
        <w:t xml:space="preserve">In addition, we would recommend that you replace the term “modern mining methods” with “modern source control methods” and then add at the end of the sentence after the word “projects”  ...to minimize or eliminate the generation of environmental contamination at its origin.  </w:t>
      </w:r>
    </w:p>
    <w:p w14:paraId="19C9FD1B" w14:textId="77777777" w:rsidR="00D84678" w:rsidRDefault="00D84678" w:rsidP="00D84678">
      <w:pPr>
        <w:pStyle w:val="CommentText"/>
      </w:pPr>
    </w:p>
    <w:p w14:paraId="74FFAC54" w14:textId="77777777" w:rsidR="00D84678" w:rsidRDefault="00D84678" w:rsidP="00D84678">
      <w:pPr>
        <w:pStyle w:val="CommentText"/>
      </w:pPr>
      <w:r>
        <w:t>Mining methods are constantly evolving and the above change reflects the most modern and protective approach.</w:t>
      </w:r>
    </w:p>
    <w:p w14:paraId="0F830336" w14:textId="77777777" w:rsidR="00D84678" w:rsidRDefault="00D84678" w:rsidP="00D84678">
      <w:pPr>
        <w:pStyle w:val="CommentText"/>
      </w:pPr>
    </w:p>
    <w:p w14:paraId="301EE94A" w14:textId="77777777" w:rsidR="00D84678" w:rsidRDefault="00D84678" w:rsidP="00D84678">
      <w:pPr>
        <w:pStyle w:val="CommentText"/>
      </w:pPr>
      <w:r>
        <w:t>Julie Lucas</w:t>
      </w:r>
    </w:p>
    <w:p w14:paraId="5431A983" w14:textId="77777777" w:rsidR="00D84678" w:rsidRDefault="00D84678" w:rsidP="00D84678">
      <w:pPr>
        <w:pStyle w:val="CommentText"/>
      </w:pPr>
      <w:r>
        <w:t xml:space="preserve">Dry stack tailings work well for some projects, but not for others. That’s similar to a lot of technologies as each ore body has its own unique geometry, geology, and geochemistry. </w:t>
      </w:r>
    </w:p>
  </w:comment>
  <w:comment w:id="62" w:author="Nancy Schuldt" w:date="2026-05-22T11:33:00Z" w:initials="NS">
    <w:p w14:paraId="7C36B3EB" w14:textId="77777777" w:rsidR="00AD68AB" w:rsidRDefault="00AD68AB" w:rsidP="00AD68AB">
      <w:pPr>
        <w:pStyle w:val="CommentText"/>
      </w:pPr>
      <w:r>
        <w:rPr>
          <w:rStyle w:val="CommentReference"/>
        </w:rPr>
        <w:annotationRef/>
      </w:r>
      <w:r>
        <w:t>Julie Lucas</w:t>
      </w:r>
    </w:p>
    <w:p w14:paraId="47CAA5AC" w14:textId="77777777" w:rsidR="00AD68AB" w:rsidRDefault="00AD68AB" w:rsidP="00AD68AB">
      <w:pPr>
        <w:pStyle w:val="CommentText"/>
      </w:pPr>
      <w:r>
        <w:t xml:space="preserve">Gas extraction includes wells that are similar in size to municipal wells for drinking water. The facilities would have a fairly small footprint. Requiring a cumulative environmental impact study on an industry that will have a smaller footprint than a housing development is out of balance with the scale and impact of these operations versus other development within our state. </w:t>
      </w:r>
    </w:p>
  </w:comment>
  <w:comment w:id="63" w:author="Nancy Schuldt" w:date="2026-06-04T11:57:00Z" w:initials="NS">
    <w:p w14:paraId="6018B0DD" w14:textId="77777777" w:rsidR="002064FC" w:rsidRDefault="002064FC" w:rsidP="002064FC">
      <w:pPr>
        <w:pStyle w:val="CommentText"/>
      </w:pPr>
      <w:r>
        <w:rPr>
          <w:rStyle w:val="CommentReference"/>
        </w:rPr>
        <w:annotationRef/>
      </w:r>
      <w:r>
        <w:t>The actual ‘footprint’ of a fully-developed network of gas production wells can be cumulatively and functionally significant. Roads, well pads and other infrastructure can significantly impact ecosystem integrity by disrupting habitat, increased traffic, noise, etc. With current interest in both helium and hydrogen extraction imposed upon a region that has experienced two centuries of extensive forest and mineral resource extraction, cumulative impacts are not negligible.</w:t>
      </w:r>
    </w:p>
  </w:comment>
  <w:comment w:id="64" w:author="Nancy Schuldt" w:date="2026-05-21T14:48:00Z" w:initials="NS">
    <w:p w14:paraId="2CDAB830" w14:textId="77777777" w:rsidR="00870E8B" w:rsidRDefault="00870E8B" w:rsidP="00870E8B">
      <w:pPr>
        <w:pStyle w:val="CommentText"/>
      </w:pPr>
      <w:r>
        <w:rPr>
          <w:rStyle w:val="CommentReference"/>
        </w:rPr>
        <w:annotationRef/>
      </w:r>
      <w:r>
        <w:t>MDH</w:t>
      </w:r>
    </w:p>
    <w:p w14:paraId="7ABF5677" w14:textId="77777777" w:rsidR="00870E8B" w:rsidRDefault="00870E8B" w:rsidP="00870E8B">
      <w:pPr>
        <w:pStyle w:val="CommentText"/>
        <w:ind w:left="40"/>
      </w:pPr>
      <w:r>
        <w:rPr>
          <w:color w:val="000000"/>
        </w:rPr>
        <w:t xml:space="preserve">Takes a lot of water to run a thermo energy system. Water quality and quantity needs to be considered. Another sector that would require great demand from a regulatory stand point. </w:t>
      </w:r>
    </w:p>
  </w:comment>
  <w:comment w:id="65" w:author="Nancy Schuldt" w:date="2026-06-04T11:59:00Z" w:initials="NS">
    <w:p w14:paraId="4928972D" w14:textId="77777777" w:rsidR="00CF5A81" w:rsidRDefault="00CF5A81" w:rsidP="00CF5A81">
      <w:pPr>
        <w:pStyle w:val="CommentText"/>
      </w:pPr>
      <w:r>
        <w:rPr>
          <w:rStyle w:val="CommentReference"/>
        </w:rPr>
        <w:annotationRef/>
      </w:r>
      <w:r>
        <w:t>This recommendation addresses actual but unanticipated thermal impacts within a petroleum pipeline corridor. More research should be done to improve predicted impacts and identify potential mitigation.</w:t>
      </w:r>
    </w:p>
  </w:comment>
  <w:comment w:id="66" w:author="Nancy Schuldt" w:date="2026-05-21T14:49:00Z" w:initials="NS">
    <w:p w14:paraId="17E478C2" w14:textId="77777777" w:rsidR="005847AC" w:rsidRDefault="005847AC" w:rsidP="005847AC">
      <w:pPr>
        <w:pStyle w:val="CommentText"/>
      </w:pPr>
      <w:r>
        <w:rPr>
          <w:rStyle w:val="CommentReference"/>
        </w:rPr>
        <w:annotationRef/>
      </w:r>
      <w:r>
        <w:t>MDH</w:t>
      </w:r>
    </w:p>
    <w:p w14:paraId="7746F854" w14:textId="77777777" w:rsidR="005847AC" w:rsidRDefault="005847AC" w:rsidP="005847AC">
      <w:pPr>
        <w:pStyle w:val="CommentText"/>
        <w:ind w:left="40"/>
      </w:pPr>
      <w:r>
        <w:rPr>
          <w:color w:val="000000"/>
        </w:rPr>
        <w:t xml:space="preserve">MDH only connection is source water protection and fish consumption. </w:t>
      </w:r>
    </w:p>
  </w:comment>
  <w:comment w:id="67" w:author="Nancy Schuldt" w:date="2026-05-22T13:59:00Z" w:initials="NS">
    <w:p w14:paraId="00843CD7" w14:textId="77777777" w:rsidR="004D1EFC" w:rsidRDefault="002F58B2" w:rsidP="004D1EFC">
      <w:pPr>
        <w:pStyle w:val="CommentText"/>
      </w:pPr>
      <w:r>
        <w:rPr>
          <w:rStyle w:val="CommentReference"/>
        </w:rPr>
        <w:annotationRef/>
      </w:r>
      <w:r w:rsidR="004D1EFC">
        <w:t>MPCA</w:t>
      </w:r>
    </w:p>
    <w:p w14:paraId="6C1EB375" w14:textId="77777777" w:rsidR="004D1EFC" w:rsidRDefault="004D1EFC" w:rsidP="004D1EFC">
      <w:pPr>
        <w:pStyle w:val="CommentText"/>
      </w:pPr>
      <w:r>
        <w:rPr>
          <w:color w:val="000000"/>
        </w:rPr>
        <w:t>Connection to NRS and shoreland areas:  The DNR report (</w:t>
      </w:r>
      <w:hyperlink r:id="rId11" w:history="1">
        <w:r w:rsidRPr="00EA2377">
          <w:rPr>
            <w:rStyle w:val="Hyperlink"/>
          </w:rPr>
          <w:t>MN NRS Appendix 5.5</w:t>
        </w:r>
      </w:hyperlink>
      <w:r>
        <w:rPr>
          <w:color w:val="000000"/>
        </w:rPr>
        <w:t>) “Nutrient Reduction Strategies for Stream and Gully Systems” from the MN NRS should be as a reference, as there is a lot of good supporting material that could help bolster this report. </w:t>
      </w:r>
    </w:p>
    <w:p w14:paraId="70D787EA" w14:textId="77777777" w:rsidR="004D1EFC" w:rsidRDefault="004D1EFC" w:rsidP="004D1EFC">
      <w:pPr>
        <w:pStyle w:val="CommentText"/>
      </w:pPr>
    </w:p>
    <w:p w14:paraId="343B534F" w14:textId="77777777" w:rsidR="004D1EFC" w:rsidRDefault="004D1EFC" w:rsidP="004D1EFC">
      <w:pPr>
        <w:pStyle w:val="CommentText"/>
      </w:pPr>
      <w:r>
        <w:rPr>
          <w:color w:val="000000"/>
        </w:rPr>
        <w:t>...</w:t>
      </w:r>
      <w:r>
        <w:rPr>
          <w:color w:val="333333"/>
        </w:rPr>
        <w:t xml:space="preserve">The DNR computes lake IBIs and then they execute lake SID. Part of lake SID includes examining shorelines. I suggest the document indicate that framework as an existing/good one for "integrating shoreline condition data into broader water quality monitoring frameworks." </w:t>
      </w:r>
    </w:p>
  </w:comment>
  <w:comment w:id="68" w:author="Nancy Schuldt" w:date="2026-05-22T14:09:00Z" w:initials="NS">
    <w:p w14:paraId="13670736" w14:textId="77777777" w:rsidR="00BE39EE" w:rsidRDefault="00BE39EE" w:rsidP="00BE39EE">
      <w:pPr>
        <w:pStyle w:val="CommentText"/>
      </w:pPr>
      <w:r>
        <w:rPr>
          <w:rStyle w:val="CommentReference"/>
        </w:rPr>
        <w:annotationRef/>
      </w:r>
      <w:r>
        <w:t>MPCA</w:t>
      </w:r>
    </w:p>
    <w:p w14:paraId="1149A911" w14:textId="77777777" w:rsidR="00BE39EE" w:rsidRDefault="00BE39EE" w:rsidP="00BE39EE">
      <w:pPr>
        <w:pStyle w:val="CommentText"/>
      </w:pPr>
      <w:r>
        <w:t xml:space="preserve">Minnesota Aquatic Invasive Species Research Center has many resources on methods to monitor and protect from the spread of aquatic invasive species: </w:t>
      </w:r>
      <w:hyperlink r:id="rId12" w:history="1">
        <w:r w:rsidRPr="003B2E1E">
          <w:rPr>
            <w:rStyle w:val="Hyperlink"/>
          </w:rPr>
          <w:t>https://maisrc.umn.edu/</w:t>
        </w:r>
      </w:hyperlink>
      <w:r>
        <w:t xml:space="preserve">. </w:t>
      </w:r>
    </w:p>
  </w:comment>
  <w:comment w:id="69" w:author="Nancy Schuldt" w:date="2026-05-21T14:16:00Z" w:initials="NS">
    <w:p w14:paraId="01E8BECB" w14:textId="77777777" w:rsidR="00490BCC" w:rsidRDefault="00490BCC" w:rsidP="00490BCC">
      <w:pPr>
        <w:pStyle w:val="CommentText"/>
      </w:pPr>
      <w:r>
        <w:rPr>
          <w:rStyle w:val="CommentReference"/>
        </w:rPr>
        <w:annotationRef/>
      </w:r>
      <w:r>
        <w:rPr>
          <w:color w:val="242424"/>
        </w:rPr>
        <w:t>MDA</w:t>
      </w:r>
    </w:p>
    <w:p w14:paraId="06250294" w14:textId="77777777" w:rsidR="00490BCC" w:rsidRDefault="00490BCC" w:rsidP="00490BCC">
      <w:pPr>
        <w:pStyle w:val="CommentText"/>
      </w:pPr>
      <w:r>
        <w:rPr>
          <w:color w:val="242424"/>
        </w:rPr>
        <w:t>Note: MDA does not presume any necessity of task force engagement with the department, but does note the department received no requests to participate and no questions from task force members and work groups.</w:t>
      </w:r>
    </w:p>
  </w:comment>
  <w:comment w:id="70" w:author="Nancy Schuldt" w:date="2026-05-22T09:58:00Z" w:initials="NS">
    <w:p w14:paraId="7948336E" w14:textId="77777777" w:rsidR="00BF4D66" w:rsidRDefault="00BF4D66" w:rsidP="00BF4D66">
      <w:pPr>
        <w:pStyle w:val="CommentText"/>
      </w:pPr>
      <w:r>
        <w:rPr>
          <w:rStyle w:val="CommentReference"/>
        </w:rPr>
        <w:annotationRef/>
      </w:r>
      <w:r>
        <w:t>DNR</w:t>
      </w:r>
    </w:p>
    <w:p w14:paraId="759668FF" w14:textId="77777777" w:rsidR="00BF4D66" w:rsidRDefault="00BF4D66" w:rsidP="00BF4D66">
      <w:pPr>
        <w:pStyle w:val="CommentText"/>
      </w:pPr>
      <w:r>
        <w:t>This section seems to make broad conclusions that we suspect most agencies would disagree with.  Water governance in Minnesota is complex, but it would be inaccurate to state that is never proactive or visionary and that it is driven by special interests.  Minnesota has made many significant accomplishments in the area of water governance and has a strong national reputation.  This is not to say that improvement is not needed.  This section just paints the entire subject as a failure so to speak.</w:t>
      </w:r>
    </w:p>
  </w:comment>
  <w:comment w:id="71" w:author="Nancy Schuldt" w:date="2026-05-21T14:49:00Z" w:initials="NS">
    <w:p w14:paraId="74040E55" w14:textId="77777777" w:rsidR="00817695" w:rsidRDefault="00817695" w:rsidP="00817695">
      <w:pPr>
        <w:pStyle w:val="CommentText"/>
      </w:pPr>
      <w:r>
        <w:rPr>
          <w:rStyle w:val="CommentReference"/>
        </w:rPr>
        <w:annotationRef/>
      </w:r>
      <w:r>
        <w:t>MDH</w:t>
      </w:r>
    </w:p>
    <w:p w14:paraId="5C4EEE94" w14:textId="77777777" w:rsidR="00817695" w:rsidRDefault="00817695" w:rsidP="00817695">
      <w:pPr>
        <w:pStyle w:val="CommentText"/>
        <w:ind w:left="40"/>
      </w:pPr>
      <w:r>
        <w:rPr>
          <w:color w:val="000000"/>
        </w:rPr>
        <w:t>MMB has taken up an enterprise wide steering team to evaluate regulatory oversight to support a proactive system to water management in the state.</w:t>
      </w:r>
    </w:p>
  </w:comment>
  <w:comment w:id="72" w:author="Nancy Schuldt" w:date="2026-05-21T14:17:00Z" w:initials="NS">
    <w:p w14:paraId="1EF3A785" w14:textId="77777777" w:rsidR="00F11569" w:rsidRDefault="00F11569" w:rsidP="00F11569">
      <w:pPr>
        <w:pStyle w:val="CommentText"/>
      </w:pPr>
      <w:r>
        <w:rPr>
          <w:rStyle w:val="CommentReference"/>
        </w:rPr>
        <w:annotationRef/>
      </w:r>
      <w:r>
        <w:rPr>
          <w:color w:val="242424"/>
        </w:rPr>
        <w:t>MDA</w:t>
      </w:r>
    </w:p>
    <w:p w14:paraId="7135E092" w14:textId="77777777" w:rsidR="00F11569" w:rsidRDefault="00F11569" w:rsidP="00F11569">
      <w:pPr>
        <w:pStyle w:val="CommentText"/>
      </w:pPr>
      <w:r>
        <w:rPr>
          <w:color w:val="242424"/>
        </w:rPr>
        <w:t>Note: Regarding these recommendations and additional instances throughout the document--and specifically apart from any opinion on them--MDA cannot be associated with explicit positions for new policies, procedures, legal determinations, and other formal actions without full prior approval having been given to the department. Any citation relative to MDA’s participation or role in the task force must therefore need leadership approval before inclusion.</w:t>
      </w:r>
    </w:p>
  </w:comment>
  <w:comment w:id="73" w:author="Nancy Schuldt" w:date="2026-05-21T14:51:00Z" w:initials="NS">
    <w:p w14:paraId="6DB440F0" w14:textId="77777777" w:rsidR="00681766" w:rsidRDefault="00681766" w:rsidP="00681766">
      <w:pPr>
        <w:pStyle w:val="CommentText"/>
      </w:pPr>
      <w:r>
        <w:rPr>
          <w:rStyle w:val="CommentReference"/>
        </w:rPr>
        <w:annotationRef/>
      </w:r>
      <w:r>
        <w:t>MDH</w:t>
      </w:r>
    </w:p>
    <w:p w14:paraId="40F81177" w14:textId="77777777" w:rsidR="00681766" w:rsidRDefault="00681766" w:rsidP="00681766">
      <w:pPr>
        <w:pStyle w:val="CommentText"/>
        <w:ind w:left="40"/>
      </w:pPr>
      <w:r>
        <w:rPr>
          <w:color w:val="000000"/>
        </w:rPr>
        <w:t>Beyond bandwidth of water policy center. MDH wants to continue to be involved and expect there is a need across the agencies.</w:t>
      </w:r>
    </w:p>
  </w:comment>
  <w:comment w:id="74" w:author="Nancy Schuldt" w:date="2026-05-21T14:52:00Z" w:initials="NS">
    <w:p w14:paraId="0D8D4320" w14:textId="77777777" w:rsidR="007764C1" w:rsidRDefault="007764C1" w:rsidP="007764C1">
      <w:pPr>
        <w:pStyle w:val="CommentText"/>
        <w:ind w:left="40"/>
      </w:pPr>
      <w:r>
        <w:rPr>
          <w:rStyle w:val="CommentReference"/>
        </w:rPr>
        <w:annotationRef/>
      </w:r>
      <w:r>
        <w:rPr>
          <w:color w:val="000000"/>
        </w:rPr>
        <w:t>MDH</w:t>
      </w:r>
    </w:p>
    <w:p w14:paraId="391E13F5" w14:textId="77777777" w:rsidR="007764C1" w:rsidRDefault="007764C1" w:rsidP="007764C1">
      <w:pPr>
        <w:pStyle w:val="CommentText"/>
        <w:ind w:left="40"/>
      </w:pPr>
      <w:r>
        <w:rPr>
          <w:color w:val="000000"/>
        </w:rPr>
        <w:t xml:space="preserve">This would be very resource heavy recommendation. </w:t>
      </w:r>
    </w:p>
  </w:comment>
  <w:comment w:id="75" w:author="Nancy Schuldt" w:date="2026-05-22T09:59:00Z" w:initials="NS">
    <w:p w14:paraId="355837F0" w14:textId="77777777" w:rsidR="005118C6" w:rsidRDefault="005118C6" w:rsidP="005118C6">
      <w:pPr>
        <w:pStyle w:val="CommentText"/>
      </w:pPr>
      <w:r>
        <w:rPr>
          <w:rStyle w:val="CommentReference"/>
        </w:rPr>
        <w:annotationRef/>
      </w:r>
      <w:r>
        <w:t>DNR</w:t>
      </w:r>
    </w:p>
    <w:p w14:paraId="19E3A8DB" w14:textId="77777777" w:rsidR="005118C6" w:rsidRDefault="005118C6" w:rsidP="005118C6">
      <w:pPr>
        <w:pStyle w:val="CommentText"/>
      </w:pPr>
      <w:r>
        <w:t>This would be a major restructuring of water governance in the state and would further complicate the governance of water related policy and the implementation of regulatory programs.  We could see such a board providing policy advice to the legislature but the oversight of implementation would have significant operational implications. The Clean Water Council is already in place to provide guidance on the use of the Clean Water Fund.</w:t>
      </w:r>
    </w:p>
  </w:comment>
  <w:comment w:id="76" w:author="Nancy Schuldt" w:date="2026-05-21T14:52:00Z" w:initials="NS">
    <w:p w14:paraId="524293F9" w14:textId="77777777" w:rsidR="006C53A3" w:rsidRDefault="00F86E23" w:rsidP="006C53A3">
      <w:pPr>
        <w:pStyle w:val="CommentText"/>
        <w:ind w:left="40"/>
      </w:pPr>
      <w:r>
        <w:rPr>
          <w:rStyle w:val="CommentReference"/>
        </w:rPr>
        <w:annotationRef/>
      </w:r>
      <w:r w:rsidR="006C53A3">
        <w:t>MDH</w:t>
      </w:r>
    </w:p>
    <w:p w14:paraId="5F33A9B9" w14:textId="77777777" w:rsidR="006C53A3" w:rsidRDefault="006C53A3" w:rsidP="006C53A3">
      <w:pPr>
        <w:pStyle w:val="CommentText"/>
        <w:ind w:left="40"/>
      </w:pPr>
      <w:r>
        <w:rPr>
          <w:color w:val="000000"/>
        </w:rPr>
        <w:t xml:space="preserve">YES!! And it hasn’t happened because it is very challenging with how funding and resources are allocated for specific work and agencies. </w:t>
      </w:r>
    </w:p>
    <w:p w14:paraId="5C02F81F" w14:textId="77777777" w:rsidR="006C53A3" w:rsidRDefault="006C53A3" w:rsidP="006C53A3">
      <w:pPr>
        <w:pStyle w:val="CommentText"/>
        <w:ind w:left="40"/>
      </w:pPr>
    </w:p>
    <w:p w14:paraId="78F595E6" w14:textId="77777777" w:rsidR="006C53A3" w:rsidRDefault="006C53A3" w:rsidP="006C53A3">
      <w:pPr>
        <w:pStyle w:val="CommentText"/>
        <w:ind w:left="40"/>
      </w:pPr>
      <w:r>
        <w:rPr>
          <w:color w:val="000000"/>
        </w:rPr>
        <w:t>DNR</w:t>
      </w:r>
    </w:p>
    <w:p w14:paraId="3B374ABD" w14:textId="77777777" w:rsidR="006C53A3" w:rsidRDefault="006C53A3" w:rsidP="006C53A3">
      <w:pPr>
        <w:pStyle w:val="CommentText"/>
        <w:ind w:left="40"/>
      </w:pPr>
      <w:r>
        <w:t>Agencies have been working to connect water data for several years but the effort could definitely benefit from additional investment</w:t>
      </w:r>
    </w:p>
  </w:comment>
  <w:comment w:id="77" w:author="Nancy Schuldt" w:date="2026-05-22T10:01:00Z" w:initials="NS">
    <w:p w14:paraId="796389CB" w14:textId="77777777" w:rsidR="00312AB1" w:rsidRDefault="00312AB1" w:rsidP="00312AB1">
      <w:pPr>
        <w:pStyle w:val="CommentText"/>
      </w:pPr>
      <w:r>
        <w:rPr>
          <w:rStyle w:val="CommentReference"/>
        </w:rPr>
        <w:annotationRef/>
      </w:r>
      <w:r>
        <w:t>DNR</w:t>
      </w:r>
    </w:p>
    <w:p w14:paraId="733306D3" w14:textId="77777777" w:rsidR="00312AB1" w:rsidRDefault="00312AB1" w:rsidP="00312AB1">
      <w:pPr>
        <w:pStyle w:val="CommentText"/>
      </w:pPr>
      <w:r>
        <w:t>This is another example of a broad statement that we disagree with.</w:t>
      </w:r>
    </w:p>
  </w:comment>
  <w:comment w:id="78" w:author="Nancy Schuldt" w:date="2026-05-22T10:02:00Z" w:initials="NS">
    <w:p w14:paraId="63BE7F29" w14:textId="77777777" w:rsidR="009459BD" w:rsidRDefault="009459BD" w:rsidP="009459BD">
      <w:pPr>
        <w:pStyle w:val="CommentText"/>
      </w:pPr>
      <w:r>
        <w:rPr>
          <w:rStyle w:val="CommentReference"/>
        </w:rPr>
        <w:annotationRef/>
      </w:r>
      <w:r>
        <w:t>DNR</w:t>
      </w:r>
    </w:p>
    <w:p w14:paraId="1E213DD6" w14:textId="77777777" w:rsidR="009459BD" w:rsidRDefault="009459BD" w:rsidP="009459BD">
      <w:pPr>
        <w:pStyle w:val="CommentText"/>
      </w:pPr>
      <w:r>
        <w:t>The fees collected under Minn. Stat. 103G.271 are credited to the water management account. Minn. Stat. 103G.27 requires that revenues collected from fees in 103G.271 and 103G.301 "may be spent only for the costs associated with administering [chapter 103G]"</w:t>
      </w:r>
    </w:p>
    <w:p w14:paraId="7C4DEA78" w14:textId="77777777" w:rsidR="009459BD" w:rsidRDefault="009459BD" w:rsidP="009459BD">
      <w:pPr>
        <w:pStyle w:val="CommentText"/>
      </w:pPr>
    </w:p>
    <w:p w14:paraId="5428F27B" w14:textId="77777777" w:rsidR="009459BD" w:rsidRDefault="009459BD" w:rsidP="009459BD">
      <w:pPr>
        <w:pStyle w:val="CommentText"/>
      </w:pPr>
      <w:r>
        <w:t xml:space="preserve">While the administration of 103G would include some consideration of ecological impacts/benefits/risks associated with water mgmt, it would seem to be beyond the bounds of the  103G.271 fee structure to "price water" based on economic value (of ecological water benefits or other valuation components). </w:t>
      </w:r>
    </w:p>
    <w:p w14:paraId="41EB404F" w14:textId="77777777" w:rsidR="009459BD" w:rsidRDefault="009459BD" w:rsidP="009459BD">
      <w:pPr>
        <w:pStyle w:val="CommentText"/>
      </w:pPr>
    </w:p>
    <w:p w14:paraId="7C178D67" w14:textId="77777777" w:rsidR="009459BD" w:rsidRDefault="009459BD" w:rsidP="009459BD">
      <w:pPr>
        <w:pStyle w:val="CommentText"/>
      </w:pPr>
      <w:r>
        <w:t>The requirement to use a conservation rate structure is in Minn. Stat. 103G.291 (as a demand reduction measure for public water suppliers, not as a fee structure for Minn Stat 103G overall). </w:t>
      </w:r>
    </w:p>
  </w:comment>
  <w:comment w:id="79" w:author="Nancy Schuldt" w:date="2026-05-22T11:35:00Z" w:initials="NS">
    <w:p w14:paraId="3EEAA637" w14:textId="77777777" w:rsidR="0040128D" w:rsidRDefault="0040128D" w:rsidP="0040128D">
      <w:pPr>
        <w:pStyle w:val="CommentText"/>
      </w:pPr>
      <w:r>
        <w:rPr>
          <w:rStyle w:val="CommentReference"/>
        </w:rPr>
        <w:annotationRef/>
      </w:r>
      <w:r>
        <w:t>Julie Lucas</w:t>
      </w:r>
    </w:p>
    <w:p w14:paraId="60C63738" w14:textId="77777777" w:rsidR="0040128D" w:rsidRDefault="0040128D" w:rsidP="0040128D">
      <w:pPr>
        <w:pStyle w:val="CommentText"/>
      </w:pPr>
      <w:r>
        <w:t xml:space="preserve">It should be recognized that mining operations reuse and recycle water to a great degree. There should be price breaks for that versus just focusing on the volumes alone as the operations can’t reduce the amount of water coming into the pit, which is still counted as an appropriation. </w:t>
      </w:r>
    </w:p>
  </w:comment>
  <w:comment w:id="80" w:author="Nancy Schuldt" w:date="2026-05-21T14:53:00Z" w:initials="NS">
    <w:p w14:paraId="43191080" w14:textId="7935C42F" w:rsidR="009965BC" w:rsidRDefault="009965BC" w:rsidP="009965BC">
      <w:pPr>
        <w:pStyle w:val="CommentText"/>
      </w:pPr>
      <w:r>
        <w:rPr>
          <w:rStyle w:val="CommentReference"/>
        </w:rPr>
        <w:annotationRef/>
      </w:r>
      <w:r>
        <w:t>MDH</w:t>
      </w:r>
    </w:p>
    <w:p w14:paraId="33B9D111" w14:textId="77777777" w:rsidR="009965BC" w:rsidRDefault="009965BC" w:rsidP="009965BC">
      <w:pPr>
        <w:pStyle w:val="CommentText"/>
        <w:ind w:left="40"/>
      </w:pPr>
      <w:r>
        <w:rPr>
          <w:color w:val="000000"/>
        </w:rPr>
        <w:t xml:space="preserve">We really like these. There is a need to include public awareness of water. Would recommend more support with school districts and MDE to get more water education into schools.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BCF91" w15:done="0"/>
  <w15:commentEx w15:paraId="2E3D0085" w15:paraIdParent="6A2BCF91" w15:done="0"/>
  <w15:commentEx w15:paraId="684CBE40" w15:done="0"/>
  <w15:commentEx w15:paraId="040DCFF8" w15:done="0"/>
  <w15:commentEx w15:paraId="6044FF2E" w15:paraIdParent="040DCFF8" w15:done="0"/>
  <w15:commentEx w15:paraId="28FA0CAA" w15:done="0"/>
  <w15:commentEx w15:paraId="775CA1DA" w15:done="0"/>
  <w15:commentEx w15:paraId="6FA59714" w15:done="0"/>
  <w15:commentEx w15:paraId="3DDBE17F" w15:done="0"/>
  <w15:commentEx w15:paraId="6D3A182D" w15:paraIdParent="3DDBE17F" w15:done="0"/>
  <w15:commentEx w15:paraId="6E2BEFBC" w15:done="0"/>
  <w15:commentEx w15:paraId="7C6993E7" w15:done="0"/>
  <w15:commentEx w15:paraId="3DDB0357" w15:done="0"/>
  <w15:commentEx w15:paraId="0EE42460" w15:done="0"/>
  <w15:commentEx w15:paraId="63E56C90" w15:paraIdParent="0EE42460" w15:done="0"/>
  <w15:commentEx w15:paraId="4C79A126" w15:done="0"/>
  <w15:commentEx w15:paraId="011FE4D4" w15:done="0"/>
  <w15:commentEx w15:paraId="1C8F4CC7" w15:done="0"/>
  <w15:commentEx w15:paraId="2EF56ED5" w15:paraIdParent="1C8F4CC7" w15:done="0"/>
  <w15:commentEx w15:paraId="14AE056E" w15:done="0"/>
  <w15:commentEx w15:paraId="4793FAC9" w15:done="0"/>
  <w15:commentEx w15:paraId="5AF22E99" w15:paraIdParent="4793FAC9" w15:done="0"/>
  <w15:commentEx w15:paraId="6AF2E52D" w15:done="0"/>
  <w15:commentEx w15:paraId="64CCAE10" w15:paraIdParent="6AF2E52D" w15:done="0"/>
  <w15:commentEx w15:paraId="394ACDBB" w15:done="0"/>
  <w15:commentEx w15:paraId="4237AFE9" w15:paraIdParent="394ACDBB" w15:done="0"/>
  <w15:commentEx w15:paraId="2BB2E771" w15:done="0"/>
  <w15:commentEx w15:paraId="74670F7F" w15:paraIdParent="2BB2E771" w15:done="0"/>
  <w15:commentEx w15:paraId="09883DD9" w15:done="0"/>
  <w15:commentEx w15:paraId="1866C35E" w15:done="0"/>
  <w15:commentEx w15:paraId="12AAA3A7" w15:done="0"/>
  <w15:commentEx w15:paraId="0C24A153" w15:done="0"/>
  <w15:commentEx w15:paraId="52F6A8CB" w15:done="0"/>
  <w15:commentEx w15:paraId="0AD87AEC" w15:paraIdParent="52F6A8CB" w15:done="0"/>
  <w15:commentEx w15:paraId="6DF082CE" w15:done="0"/>
  <w15:commentEx w15:paraId="6CAE40E3" w15:done="0"/>
  <w15:commentEx w15:paraId="5BB89991" w15:done="0"/>
  <w15:commentEx w15:paraId="23E0803F" w15:done="0"/>
  <w15:commentEx w15:paraId="01D2A103" w15:done="0"/>
  <w15:commentEx w15:paraId="73A3663F" w15:done="0"/>
  <w15:commentEx w15:paraId="48A3E9CA" w15:done="0"/>
  <w15:commentEx w15:paraId="06F3DA7C" w15:done="0"/>
  <w15:commentEx w15:paraId="7A5B7013" w15:done="0"/>
  <w15:commentEx w15:paraId="0E396F74" w15:done="0"/>
  <w15:commentEx w15:paraId="27FC6299" w15:done="0"/>
  <w15:commentEx w15:paraId="0E0ED301" w15:done="0"/>
  <w15:commentEx w15:paraId="47B1C65F" w15:done="0"/>
  <w15:commentEx w15:paraId="48F4057B" w15:done="0"/>
  <w15:commentEx w15:paraId="59D51721" w15:paraIdParent="48F4057B" w15:done="0"/>
  <w15:commentEx w15:paraId="65C60CF7" w15:done="0"/>
  <w15:commentEx w15:paraId="2047446C" w15:done="0"/>
  <w15:commentEx w15:paraId="10B1D99C" w15:done="0"/>
  <w15:commentEx w15:paraId="5D42F389" w15:done="0"/>
  <w15:commentEx w15:paraId="66A08054" w15:done="0"/>
  <w15:commentEx w15:paraId="53D7857E" w15:done="0"/>
  <w15:commentEx w15:paraId="1A989816" w15:done="0"/>
  <w15:commentEx w15:paraId="0A4B254C" w15:paraIdParent="1A989816" w15:done="0"/>
  <w15:commentEx w15:paraId="31E43111" w15:done="0"/>
  <w15:commentEx w15:paraId="2DCDB31F" w15:done="0"/>
  <w15:commentEx w15:paraId="0594A44A" w15:paraIdParent="2DCDB31F" w15:done="0"/>
  <w15:commentEx w15:paraId="5BFDB423" w15:done="0"/>
  <w15:commentEx w15:paraId="5431A983" w15:done="0"/>
  <w15:commentEx w15:paraId="47CAA5AC" w15:done="0"/>
  <w15:commentEx w15:paraId="6018B0DD" w15:paraIdParent="47CAA5AC" w15:done="0"/>
  <w15:commentEx w15:paraId="7ABF5677" w15:done="0"/>
  <w15:commentEx w15:paraId="4928972D" w15:paraIdParent="7ABF5677" w15:done="0"/>
  <w15:commentEx w15:paraId="7746F854" w15:done="0"/>
  <w15:commentEx w15:paraId="343B534F" w15:done="0"/>
  <w15:commentEx w15:paraId="1149A911" w15:done="0"/>
  <w15:commentEx w15:paraId="06250294" w15:done="0"/>
  <w15:commentEx w15:paraId="759668FF" w15:done="0"/>
  <w15:commentEx w15:paraId="5C4EEE94" w15:done="0"/>
  <w15:commentEx w15:paraId="7135E092" w15:done="0"/>
  <w15:commentEx w15:paraId="40F81177" w15:done="0"/>
  <w15:commentEx w15:paraId="391E13F5" w15:done="0"/>
  <w15:commentEx w15:paraId="19E3A8DB" w15:done="0"/>
  <w15:commentEx w15:paraId="3B374ABD" w15:done="0"/>
  <w15:commentEx w15:paraId="733306D3" w15:done="0"/>
  <w15:commentEx w15:paraId="7C178D67" w15:done="0"/>
  <w15:commentEx w15:paraId="60C63738" w15:done="0"/>
  <w15:commentEx w15:paraId="33B9D1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95DDAC" w16cex:dateUtc="2026-05-21T19:03:00Z"/>
  <w16cex:commentExtensible w16cex:durableId="47739588" w16cex:dateUtc="2026-05-21T19:03:00Z"/>
  <w16cex:commentExtensible w16cex:durableId="7B7BCEB8" w16cex:dateUtc="2026-05-21T19:21:00Z"/>
  <w16cex:commentExtensible w16cex:durableId="0C5AB152" w16cex:dateUtc="2026-05-21T19:04:00Z"/>
  <w16cex:commentExtensible w16cex:durableId="04BF203D" w16cex:dateUtc="2026-06-04T15:32:00Z"/>
  <w16cex:commentExtensible w16cex:durableId="11BDC533" w16cex:dateUtc="2026-05-21T19:05:00Z"/>
  <w16cex:commentExtensible w16cex:durableId="4615E803" w16cex:dateUtc="2026-05-21T19:24:00Z"/>
  <w16cex:commentExtensible w16cex:durableId="726707ED" w16cex:dateUtc="2026-05-21T19:25:00Z"/>
  <w16cex:commentExtensible w16cex:durableId="53F1E7BF" w16cex:dateUtc="2026-05-22T16:19:00Z"/>
  <w16cex:commentExtensible w16cex:durableId="7B514A9A" w16cex:dateUtc="2026-06-04T15:38:00Z"/>
  <w16cex:commentExtensible w16cex:durableId="0AFB079A" w16cex:dateUtc="2026-05-21T19:31:00Z"/>
  <w16cex:commentExtensible w16cex:durableId="04FB7CA3" w16cex:dateUtc="2026-05-22T19:18:00Z"/>
  <w16cex:commentExtensible w16cex:durableId="231F0B80" w16cex:dateUtc="2026-05-22T19:19:00Z"/>
  <w16cex:commentExtensible w16cex:durableId="56AFA520" w16cex:dateUtc="2026-05-22T19:20:00Z"/>
  <w16cex:commentExtensible w16cex:durableId="112B2473" w16cex:dateUtc="2026-06-04T15:35:00Z"/>
  <w16cex:commentExtensible w16cex:durableId="06ED13CA" w16cex:dateUtc="2026-05-21T19:32:00Z"/>
  <w16cex:commentExtensible w16cex:durableId="492DF53D" w16cex:dateUtc="2026-05-22T15:18:00Z"/>
  <w16cex:commentExtensible w16cex:durableId="07D108EB" w16cex:dateUtc="2026-05-22T16:20:00Z"/>
  <w16cex:commentExtensible w16cex:durableId="00E83751" w16cex:dateUtc="2026-06-04T15:39:00Z"/>
  <w16cex:commentExtensible w16cex:durableId="55370386" w16cex:dateUtc="2026-05-21T19:33:00Z"/>
  <w16cex:commentExtensible w16cex:durableId="7B7EB7E2" w16cex:dateUtc="2026-05-21T19:09:00Z"/>
  <w16cex:commentExtensible w16cex:durableId="53BEDBA6" w16cex:dateUtc="2026-06-04T15:41:00Z"/>
  <w16cex:commentExtensible w16cex:durableId="6DEF8D42" w16cex:dateUtc="2026-05-21T19:10:00Z"/>
  <w16cex:commentExtensible w16cex:durableId="032D9C17" w16cex:dateUtc="2026-06-04T15:43:00Z"/>
  <w16cex:commentExtensible w16cex:durableId="4DFD7C5A" w16cex:dateUtc="2026-05-21T19:12:00Z"/>
  <w16cex:commentExtensible w16cex:durableId="043D9BBE" w16cex:dateUtc="2026-06-04T16:25:00Z"/>
  <w16cex:commentExtensible w16cex:durableId="6350994C" w16cex:dateUtc="2026-05-22T16:57:00Z"/>
  <w16cex:commentExtensible w16cex:durableId="5D46BD77" w16cex:dateUtc="2026-06-04T16:26:00Z"/>
  <w16cex:commentExtensible w16cex:durableId="6697F056" w16cex:dateUtc="2026-05-21T19:33:00Z"/>
  <w16cex:commentExtensible w16cex:durableId="547A6221" w16cex:dateUtc="2026-05-22T14:19:00Z"/>
  <w16cex:commentExtensible w16cex:durableId="72FA3B35" w16cex:dateUtc="2026-05-21T19:34:00Z"/>
  <w16cex:commentExtensible w16cex:durableId="7F83C66D" w16cex:dateUtc="2026-05-21T19:34:00Z"/>
  <w16cex:commentExtensible w16cex:durableId="2FE175CF" w16cex:dateUtc="2026-05-21T19:36:00Z"/>
  <w16cex:commentExtensible w16cex:durableId="6AF53E7D" w16cex:dateUtc="2026-06-04T16:28:00Z"/>
  <w16cex:commentExtensible w16cex:durableId="0F846A04" w16cex:dateUtc="2026-05-22T14:27:00Z"/>
  <w16cex:commentExtensible w16cex:durableId="5FEC22CD" w16cex:dateUtc="2026-05-22T14:42:00Z"/>
  <w16cex:commentExtensible w16cex:durableId="37C825B7" w16cex:dateUtc="2026-05-22T16:28:00Z"/>
  <w16cex:commentExtensible w16cex:durableId="4933AB1B" w16cex:dateUtc="2026-05-21T19:37:00Z"/>
  <w16cex:commentExtensible w16cex:durableId="333620D5" w16cex:dateUtc="2026-05-22T14:43:00Z"/>
  <w16cex:commentExtensible w16cex:durableId="57B95984" w16cex:dateUtc="2026-05-22T14:44:00Z"/>
  <w16cex:commentExtensible w16cex:durableId="1A587B30" w16cex:dateUtc="2026-05-22T14:45:00Z"/>
  <w16cex:commentExtensible w16cex:durableId="174803A7" w16cex:dateUtc="2026-05-22T14:45:00Z"/>
  <w16cex:commentExtensible w16cex:durableId="4E5A2E2C" w16cex:dateUtc="2026-05-22T14:46:00Z"/>
  <w16cex:commentExtensible w16cex:durableId="693EF289" w16cex:dateUtc="2026-05-21T19:37:00Z"/>
  <w16cex:commentExtensible w16cex:durableId="1FA5C5DF" w16cex:dateUtc="2026-05-21T19:38:00Z"/>
  <w16cex:commentExtensible w16cex:durableId="4BEDD9B1" w16cex:dateUtc="2026-05-21T19:38:00Z"/>
  <w16cex:commentExtensible w16cex:durableId="375042D9" w16cex:dateUtc="2026-05-22T19:07:00Z"/>
  <w16cex:commentExtensible w16cex:durableId="501C7B64" w16cex:dateUtc="2026-05-21T19:13:00Z"/>
  <w16cex:commentExtensible w16cex:durableId="1B301EC5" w16cex:dateUtc="2026-06-04T16:34:00Z"/>
  <w16cex:commentExtensible w16cex:durableId="377AC62F" w16cex:dateUtc="2026-05-22T16:53:00Z"/>
  <w16cex:commentExtensible w16cex:durableId="4D7E8A18" w16cex:dateUtc="2026-05-22T18:57:00Z"/>
  <w16cex:commentExtensible w16cex:durableId="499AA7C9" w16cex:dateUtc="2026-05-21T19:45:00Z"/>
  <w16cex:commentExtensible w16cex:durableId="73B0BEE0" w16cex:dateUtc="2026-05-21T19:46:00Z"/>
  <w16cex:commentExtensible w16cex:durableId="79656536" w16cex:dateUtc="2026-05-21T19:14:00Z"/>
  <w16cex:commentExtensible w16cex:durableId="51A5E614" w16cex:dateUtc="2026-05-22T19:15:00Z"/>
  <w16cex:commentExtensible w16cex:durableId="4D496309" w16cex:dateUtc="2026-05-22T16:30:00Z"/>
  <w16cex:commentExtensible w16cex:durableId="0949D31A" w16cex:dateUtc="2026-06-04T16:40:00Z"/>
  <w16cex:commentExtensible w16cex:durableId="4BCA89D4" w16cex:dateUtc="2026-05-21T19:47:00Z"/>
  <w16cex:commentExtensible w16cex:durableId="368BBC49" w16cex:dateUtc="2026-05-22T16:31:00Z"/>
  <w16cex:commentExtensible w16cex:durableId="04C52C79" w16cex:dateUtc="2026-06-04T16:44:00Z"/>
  <w16cex:commentExtensible w16cex:durableId="283458F2" w16cex:dateUtc="2026-05-22T14:49:00Z"/>
  <w16cex:commentExtensible w16cex:durableId="613388DC" w16cex:dateUtc="2026-05-22T14:53:00Z"/>
  <w16cex:commentExtensible w16cex:durableId="6436C024" w16cex:dateUtc="2026-05-22T16:33:00Z"/>
  <w16cex:commentExtensible w16cex:durableId="3F6F2128" w16cex:dateUtc="2026-06-04T16:57:00Z"/>
  <w16cex:commentExtensible w16cex:durableId="2E2B5A04" w16cex:dateUtc="2026-05-21T19:48:00Z"/>
  <w16cex:commentExtensible w16cex:durableId="4458B60B" w16cex:dateUtc="2026-06-04T16:59:00Z"/>
  <w16cex:commentExtensible w16cex:durableId="241DDC58" w16cex:dateUtc="2026-05-21T19:49:00Z"/>
  <w16cex:commentExtensible w16cex:durableId="21898718" w16cex:dateUtc="2026-05-22T18:59:00Z"/>
  <w16cex:commentExtensible w16cex:durableId="0F4CEE40" w16cex:dateUtc="2026-05-22T19:09:00Z"/>
  <w16cex:commentExtensible w16cex:durableId="249B0A32" w16cex:dateUtc="2026-05-21T19:16:00Z"/>
  <w16cex:commentExtensible w16cex:durableId="39BA17F9" w16cex:dateUtc="2026-05-22T14:58:00Z"/>
  <w16cex:commentExtensible w16cex:durableId="330E3164" w16cex:dateUtc="2026-05-21T19:49:00Z"/>
  <w16cex:commentExtensible w16cex:durableId="52BB8E13" w16cex:dateUtc="2026-05-21T19:17:00Z"/>
  <w16cex:commentExtensible w16cex:durableId="1C32D5A3" w16cex:dateUtc="2026-05-21T19:51:00Z"/>
  <w16cex:commentExtensible w16cex:durableId="0FC54E65" w16cex:dateUtc="2026-05-21T19:52:00Z"/>
  <w16cex:commentExtensible w16cex:durableId="78EF885F" w16cex:dateUtc="2026-05-22T14:59:00Z"/>
  <w16cex:commentExtensible w16cex:durableId="267C082F" w16cex:dateUtc="2026-05-21T19:52:00Z"/>
  <w16cex:commentExtensible w16cex:durableId="684132B3" w16cex:dateUtc="2026-05-22T15:01:00Z"/>
  <w16cex:commentExtensible w16cex:durableId="6F28C8FB" w16cex:dateUtc="2026-05-22T15:02:00Z"/>
  <w16cex:commentExtensible w16cex:durableId="00862F89" w16cex:dateUtc="2026-05-22T16:35:00Z"/>
  <w16cex:commentExtensible w16cex:durableId="2D5923B4" w16cex:dateUtc="2026-05-2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BCF91" w16cid:durableId="1D95DDAC"/>
  <w16cid:commentId w16cid:paraId="2E3D0085" w16cid:durableId="47739588"/>
  <w16cid:commentId w16cid:paraId="684CBE40" w16cid:durableId="7B7BCEB8"/>
  <w16cid:commentId w16cid:paraId="040DCFF8" w16cid:durableId="0C5AB152"/>
  <w16cid:commentId w16cid:paraId="6044FF2E" w16cid:durableId="04BF203D"/>
  <w16cid:commentId w16cid:paraId="28FA0CAA" w16cid:durableId="11BDC533"/>
  <w16cid:commentId w16cid:paraId="775CA1DA" w16cid:durableId="4615E803"/>
  <w16cid:commentId w16cid:paraId="6FA59714" w16cid:durableId="726707ED"/>
  <w16cid:commentId w16cid:paraId="3DDBE17F" w16cid:durableId="53F1E7BF"/>
  <w16cid:commentId w16cid:paraId="6D3A182D" w16cid:durableId="7B514A9A"/>
  <w16cid:commentId w16cid:paraId="6E2BEFBC" w16cid:durableId="0AFB079A"/>
  <w16cid:commentId w16cid:paraId="7C6993E7" w16cid:durableId="04FB7CA3"/>
  <w16cid:commentId w16cid:paraId="3DDB0357" w16cid:durableId="231F0B80"/>
  <w16cid:commentId w16cid:paraId="0EE42460" w16cid:durableId="56AFA520"/>
  <w16cid:commentId w16cid:paraId="63E56C90" w16cid:durableId="112B2473"/>
  <w16cid:commentId w16cid:paraId="4C79A126" w16cid:durableId="06ED13CA"/>
  <w16cid:commentId w16cid:paraId="011FE4D4" w16cid:durableId="492DF53D"/>
  <w16cid:commentId w16cid:paraId="1C8F4CC7" w16cid:durableId="07D108EB"/>
  <w16cid:commentId w16cid:paraId="2EF56ED5" w16cid:durableId="00E83751"/>
  <w16cid:commentId w16cid:paraId="14AE056E" w16cid:durableId="55370386"/>
  <w16cid:commentId w16cid:paraId="4793FAC9" w16cid:durableId="7B7EB7E2"/>
  <w16cid:commentId w16cid:paraId="5AF22E99" w16cid:durableId="53BEDBA6"/>
  <w16cid:commentId w16cid:paraId="6AF2E52D" w16cid:durableId="6DEF8D42"/>
  <w16cid:commentId w16cid:paraId="64CCAE10" w16cid:durableId="032D9C17"/>
  <w16cid:commentId w16cid:paraId="394ACDBB" w16cid:durableId="4DFD7C5A"/>
  <w16cid:commentId w16cid:paraId="4237AFE9" w16cid:durableId="043D9BBE"/>
  <w16cid:commentId w16cid:paraId="2BB2E771" w16cid:durableId="6350994C"/>
  <w16cid:commentId w16cid:paraId="74670F7F" w16cid:durableId="5D46BD77"/>
  <w16cid:commentId w16cid:paraId="09883DD9" w16cid:durableId="6697F056"/>
  <w16cid:commentId w16cid:paraId="1866C35E" w16cid:durableId="547A6221"/>
  <w16cid:commentId w16cid:paraId="12AAA3A7" w16cid:durableId="72FA3B35"/>
  <w16cid:commentId w16cid:paraId="0C24A153" w16cid:durableId="7F83C66D"/>
  <w16cid:commentId w16cid:paraId="52F6A8CB" w16cid:durableId="2FE175CF"/>
  <w16cid:commentId w16cid:paraId="0AD87AEC" w16cid:durableId="6AF53E7D"/>
  <w16cid:commentId w16cid:paraId="6DF082CE" w16cid:durableId="0F846A04"/>
  <w16cid:commentId w16cid:paraId="6CAE40E3" w16cid:durableId="5FEC22CD"/>
  <w16cid:commentId w16cid:paraId="5BB89991" w16cid:durableId="37C825B7"/>
  <w16cid:commentId w16cid:paraId="23E0803F" w16cid:durableId="4933AB1B"/>
  <w16cid:commentId w16cid:paraId="01D2A103" w16cid:durableId="333620D5"/>
  <w16cid:commentId w16cid:paraId="73A3663F" w16cid:durableId="57B95984"/>
  <w16cid:commentId w16cid:paraId="48A3E9CA" w16cid:durableId="1A587B30"/>
  <w16cid:commentId w16cid:paraId="06F3DA7C" w16cid:durableId="174803A7"/>
  <w16cid:commentId w16cid:paraId="7A5B7013" w16cid:durableId="4E5A2E2C"/>
  <w16cid:commentId w16cid:paraId="0E396F74" w16cid:durableId="693EF289"/>
  <w16cid:commentId w16cid:paraId="27FC6299" w16cid:durableId="1FA5C5DF"/>
  <w16cid:commentId w16cid:paraId="0E0ED301" w16cid:durableId="4BEDD9B1"/>
  <w16cid:commentId w16cid:paraId="47B1C65F" w16cid:durableId="375042D9"/>
  <w16cid:commentId w16cid:paraId="48F4057B" w16cid:durableId="501C7B64"/>
  <w16cid:commentId w16cid:paraId="59D51721" w16cid:durableId="1B301EC5"/>
  <w16cid:commentId w16cid:paraId="65C60CF7" w16cid:durableId="377AC62F"/>
  <w16cid:commentId w16cid:paraId="2047446C" w16cid:durableId="4D7E8A18"/>
  <w16cid:commentId w16cid:paraId="10B1D99C" w16cid:durableId="499AA7C9"/>
  <w16cid:commentId w16cid:paraId="5D42F389" w16cid:durableId="73B0BEE0"/>
  <w16cid:commentId w16cid:paraId="66A08054" w16cid:durableId="79656536"/>
  <w16cid:commentId w16cid:paraId="53D7857E" w16cid:durableId="51A5E614"/>
  <w16cid:commentId w16cid:paraId="1A989816" w16cid:durableId="4D496309"/>
  <w16cid:commentId w16cid:paraId="0A4B254C" w16cid:durableId="0949D31A"/>
  <w16cid:commentId w16cid:paraId="31E43111" w16cid:durableId="4BCA89D4"/>
  <w16cid:commentId w16cid:paraId="2DCDB31F" w16cid:durableId="368BBC49"/>
  <w16cid:commentId w16cid:paraId="0594A44A" w16cid:durableId="04C52C79"/>
  <w16cid:commentId w16cid:paraId="5BFDB423" w16cid:durableId="283458F2"/>
  <w16cid:commentId w16cid:paraId="5431A983" w16cid:durableId="613388DC"/>
  <w16cid:commentId w16cid:paraId="47CAA5AC" w16cid:durableId="6436C024"/>
  <w16cid:commentId w16cid:paraId="6018B0DD" w16cid:durableId="3F6F2128"/>
  <w16cid:commentId w16cid:paraId="7ABF5677" w16cid:durableId="2E2B5A04"/>
  <w16cid:commentId w16cid:paraId="4928972D" w16cid:durableId="4458B60B"/>
  <w16cid:commentId w16cid:paraId="7746F854" w16cid:durableId="241DDC58"/>
  <w16cid:commentId w16cid:paraId="343B534F" w16cid:durableId="21898718"/>
  <w16cid:commentId w16cid:paraId="1149A911" w16cid:durableId="0F4CEE40"/>
  <w16cid:commentId w16cid:paraId="06250294" w16cid:durableId="249B0A32"/>
  <w16cid:commentId w16cid:paraId="759668FF" w16cid:durableId="39BA17F9"/>
  <w16cid:commentId w16cid:paraId="5C4EEE94" w16cid:durableId="330E3164"/>
  <w16cid:commentId w16cid:paraId="7135E092" w16cid:durableId="52BB8E13"/>
  <w16cid:commentId w16cid:paraId="40F81177" w16cid:durableId="1C32D5A3"/>
  <w16cid:commentId w16cid:paraId="391E13F5" w16cid:durableId="0FC54E65"/>
  <w16cid:commentId w16cid:paraId="19E3A8DB" w16cid:durableId="78EF885F"/>
  <w16cid:commentId w16cid:paraId="3B374ABD" w16cid:durableId="267C082F"/>
  <w16cid:commentId w16cid:paraId="733306D3" w16cid:durableId="684132B3"/>
  <w16cid:commentId w16cid:paraId="7C178D67" w16cid:durableId="6F28C8FB"/>
  <w16cid:commentId w16cid:paraId="60C63738" w16cid:durableId="00862F89"/>
  <w16cid:commentId w16cid:paraId="33B9D111" w16cid:durableId="2D592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D87B" w14:textId="77777777" w:rsidR="005A141F" w:rsidRDefault="005A141F" w:rsidP="00E96FFB">
      <w:pPr>
        <w:spacing w:after="0" w:line="240" w:lineRule="auto"/>
      </w:pPr>
      <w:r>
        <w:separator/>
      </w:r>
    </w:p>
  </w:endnote>
  <w:endnote w:type="continuationSeparator" w:id="0">
    <w:p w14:paraId="0F3707D5" w14:textId="77777777" w:rsidR="005A141F" w:rsidRDefault="005A141F" w:rsidP="00E9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7640"/>
      <w:docPartObj>
        <w:docPartGallery w:val="Page Numbers (Bottom of Page)"/>
        <w:docPartUnique/>
      </w:docPartObj>
    </w:sdtPr>
    <w:sdtEndPr>
      <w:rPr>
        <w:noProof/>
      </w:rPr>
    </w:sdtEndPr>
    <w:sdtContent>
      <w:p w14:paraId="59D1184F" w14:textId="0719DBCE" w:rsidR="0034775C" w:rsidRDefault="00347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A2B6D" w14:textId="77777777" w:rsidR="0034775C" w:rsidRDefault="0034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50C4" w14:textId="77777777" w:rsidR="005A141F" w:rsidRDefault="005A141F" w:rsidP="00E96FFB">
      <w:pPr>
        <w:spacing w:after="0" w:line="240" w:lineRule="auto"/>
      </w:pPr>
      <w:r>
        <w:separator/>
      </w:r>
    </w:p>
  </w:footnote>
  <w:footnote w:type="continuationSeparator" w:id="0">
    <w:p w14:paraId="261794ED" w14:textId="77777777" w:rsidR="005A141F" w:rsidRDefault="005A141F" w:rsidP="00E96FFB">
      <w:pPr>
        <w:spacing w:after="0" w:line="240" w:lineRule="auto"/>
      </w:pPr>
      <w:r>
        <w:continuationSeparator/>
      </w:r>
    </w:p>
  </w:footnote>
  <w:footnote w:id="1">
    <w:p w14:paraId="49FC9399" w14:textId="77777777" w:rsidR="005B08BE" w:rsidRDefault="005B08BE" w:rsidP="005B08BE">
      <w:pPr>
        <w:pStyle w:val="FootnoteText"/>
      </w:pPr>
      <w:r>
        <w:rPr>
          <w:rStyle w:val="FootnoteReference"/>
        </w:rPr>
        <w:footnoteRef/>
      </w:r>
      <w:r>
        <w:t xml:space="preserve"> </w:t>
      </w:r>
      <w:hyperlink r:id="rId1" w:history="1">
        <w:r w:rsidRPr="00A46B21">
          <w:rPr>
            <w:rStyle w:val="Hyperlink"/>
          </w:rPr>
          <w:t>https://www.dnr.state.mn.us/scoreyourshore/index.html</w:t>
        </w:r>
      </w:hyperlink>
      <w:r>
        <w:t xml:space="preserve"> </w:t>
      </w:r>
    </w:p>
  </w:footnote>
  <w:footnote w:id="2">
    <w:p w14:paraId="79B730D1" w14:textId="77777777" w:rsidR="005B08BE" w:rsidRDefault="005B08BE" w:rsidP="005B08BE">
      <w:pPr>
        <w:pStyle w:val="FootnoteText"/>
      </w:pPr>
      <w:r>
        <w:rPr>
          <w:rStyle w:val="FootnoteReference"/>
        </w:rPr>
        <w:footnoteRef/>
      </w:r>
      <w:r>
        <w:t xml:space="preserve"> </w:t>
      </w:r>
      <w:hyperlink r:id="rId2" w:history="1">
        <w:r w:rsidRPr="00A46B21">
          <w:rPr>
            <w:rStyle w:val="Hyperlink"/>
          </w:rPr>
          <w:t>https://www.dnr.state.mn.us/rys/index.html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06"/>
    <w:multiLevelType w:val="hybridMultilevel"/>
    <w:tmpl w:val="0960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BC0"/>
    <w:multiLevelType w:val="hybridMultilevel"/>
    <w:tmpl w:val="93EA1448"/>
    <w:lvl w:ilvl="0" w:tplc="F490E0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512C"/>
    <w:multiLevelType w:val="hybridMultilevel"/>
    <w:tmpl w:val="B6B6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32195"/>
    <w:multiLevelType w:val="hybridMultilevel"/>
    <w:tmpl w:val="E9283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A49F1"/>
    <w:multiLevelType w:val="hybridMultilevel"/>
    <w:tmpl w:val="C1F0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03E01"/>
    <w:multiLevelType w:val="hybridMultilevel"/>
    <w:tmpl w:val="642E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90630"/>
    <w:multiLevelType w:val="hybridMultilevel"/>
    <w:tmpl w:val="97922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C119A"/>
    <w:multiLevelType w:val="hybridMultilevel"/>
    <w:tmpl w:val="FA9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71F9A"/>
    <w:multiLevelType w:val="hybridMultilevel"/>
    <w:tmpl w:val="E5AEEF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BA37F4"/>
    <w:multiLevelType w:val="hybridMultilevel"/>
    <w:tmpl w:val="A296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C3D4F"/>
    <w:multiLevelType w:val="hybridMultilevel"/>
    <w:tmpl w:val="5EEE4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5B166C"/>
    <w:multiLevelType w:val="hybridMultilevel"/>
    <w:tmpl w:val="32CE5A30"/>
    <w:lvl w:ilvl="0" w:tplc="4D1C958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4B147C"/>
    <w:multiLevelType w:val="hybridMultilevel"/>
    <w:tmpl w:val="566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91FA7"/>
    <w:multiLevelType w:val="hybridMultilevel"/>
    <w:tmpl w:val="089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6046D"/>
    <w:multiLevelType w:val="hybridMultilevel"/>
    <w:tmpl w:val="C174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25FF2"/>
    <w:multiLevelType w:val="multilevel"/>
    <w:tmpl w:val="422E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B6886"/>
    <w:multiLevelType w:val="hybridMultilevel"/>
    <w:tmpl w:val="D6506808"/>
    <w:lvl w:ilvl="0" w:tplc="86AE5A76">
      <w:start w:val="1"/>
      <w:numFmt w:val="decimal"/>
      <w:lvlText w:val="%1."/>
      <w:lvlJc w:val="left"/>
      <w:pPr>
        <w:ind w:left="720" w:hanging="360"/>
      </w:pPr>
      <w:rPr>
        <w:rFonts w:asciiTheme="minorHAnsi" w:eastAsia="Times New Roman" w:hAnsiTheme="minorHAns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728CC"/>
    <w:multiLevelType w:val="hybridMultilevel"/>
    <w:tmpl w:val="6E48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530A2"/>
    <w:multiLevelType w:val="hybridMultilevel"/>
    <w:tmpl w:val="E8A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670AA"/>
    <w:multiLevelType w:val="hybridMultilevel"/>
    <w:tmpl w:val="06D6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4431E"/>
    <w:multiLevelType w:val="hybridMultilevel"/>
    <w:tmpl w:val="3890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65A"/>
    <w:multiLevelType w:val="multilevel"/>
    <w:tmpl w:val="5750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A0370"/>
    <w:multiLevelType w:val="hybridMultilevel"/>
    <w:tmpl w:val="DCCAF5E4"/>
    <w:lvl w:ilvl="0" w:tplc="7D6C0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8FBCDA"/>
    <w:multiLevelType w:val="hybridMultilevel"/>
    <w:tmpl w:val="A61A9FA0"/>
    <w:lvl w:ilvl="0" w:tplc="E1065828">
      <w:start w:val="1"/>
      <w:numFmt w:val="bullet"/>
      <w:lvlText w:val=""/>
      <w:lvlJc w:val="left"/>
      <w:pPr>
        <w:ind w:left="360" w:hanging="360"/>
      </w:pPr>
      <w:rPr>
        <w:rFonts w:ascii="Symbol" w:hAnsi="Symbol" w:hint="default"/>
      </w:rPr>
    </w:lvl>
    <w:lvl w:ilvl="1" w:tplc="765E4EE8">
      <w:start w:val="1"/>
      <w:numFmt w:val="bullet"/>
      <w:lvlText w:val="o"/>
      <w:lvlJc w:val="left"/>
      <w:pPr>
        <w:ind w:left="1080" w:hanging="360"/>
      </w:pPr>
      <w:rPr>
        <w:rFonts w:ascii="Courier New" w:hAnsi="Courier New" w:hint="default"/>
      </w:rPr>
    </w:lvl>
    <w:lvl w:ilvl="2" w:tplc="91284DDA">
      <w:start w:val="1"/>
      <w:numFmt w:val="bullet"/>
      <w:lvlText w:val=""/>
      <w:lvlJc w:val="left"/>
      <w:pPr>
        <w:ind w:left="1800" w:hanging="360"/>
      </w:pPr>
      <w:rPr>
        <w:rFonts w:ascii="Wingdings" w:hAnsi="Wingdings" w:hint="default"/>
      </w:rPr>
    </w:lvl>
    <w:lvl w:ilvl="3" w:tplc="1018B51A">
      <w:start w:val="1"/>
      <w:numFmt w:val="bullet"/>
      <w:lvlText w:val=""/>
      <w:lvlJc w:val="left"/>
      <w:pPr>
        <w:ind w:left="2520" w:hanging="360"/>
      </w:pPr>
      <w:rPr>
        <w:rFonts w:ascii="Symbol" w:hAnsi="Symbol" w:hint="default"/>
      </w:rPr>
    </w:lvl>
    <w:lvl w:ilvl="4" w:tplc="488C9400">
      <w:start w:val="1"/>
      <w:numFmt w:val="bullet"/>
      <w:lvlText w:val="o"/>
      <w:lvlJc w:val="left"/>
      <w:pPr>
        <w:ind w:left="3240" w:hanging="360"/>
      </w:pPr>
      <w:rPr>
        <w:rFonts w:ascii="Courier New" w:hAnsi="Courier New" w:hint="default"/>
      </w:rPr>
    </w:lvl>
    <w:lvl w:ilvl="5" w:tplc="639E1562">
      <w:start w:val="1"/>
      <w:numFmt w:val="bullet"/>
      <w:lvlText w:val=""/>
      <w:lvlJc w:val="left"/>
      <w:pPr>
        <w:ind w:left="3960" w:hanging="360"/>
      </w:pPr>
      <w:rPr>
        <w:rFonts w:ascii="Wingdings" w:hAnsi="Wingdings" w:hint="default"/>
      </w:rPr>
    </w:lvl>
    <w:lvl w:ilvl="6" w:tplc="D310C4D0">
      <w:start w:val="1"/>
      <w:numFmt w:val="bullet"/>
      <w:lvlText w:val=""/>
      <w:lvlJc w:val="left"/>
      <w:pPr>
        <w:ind w:left="4680" w:hanging="360"/>
      </w:pPr>
      <w:rPr>
        <w:rFonts w:ascii="Symbol" w:hAnsi="Symbol" w:hint="default"/>
      </w:rPr>
    </w:lvl>
    <w:lvl w:ilvl="7" w:tplc="0D885D56">
      <w:start w:val="1"/>
      <w:numFmt w:val="bullet"/>
      <w:lvlText w:val="o"/>
      <w:lvlJc w:val="left"/>
      <w:pPr>
        <w:ind w:left="5400" w:hanging="360"/>
      </w:pPr>
      <w:rPr>
        <w:rFonts w:ascii="Courier New" w:hAnsi="Courier New" w:hint="default"/>
      </w:rPr>
    </w:lvl>
    <w:lvl w:ilvl="8" w:tplc="25B4F7CE">
      <w:start w:val="1"/>
      <w:numFmt w:val="bullet"/>
      <w:lvlText w:val=""/>
      <w:lvlJc w:val="left"/>
      <w:pPr>
        <w:ind w:left="6120" w:hanging="360"/>
      </w:pPr>
      <w:rPr>
        <w:rFonts w:ascii="Wingdings" w:hAnsi="Wingdings" w:hint="default"/>
      </w:rPr>
    </w:lvl>
  </w:abstractNum>
  <w:abstractNum w:abstractNumId="24" w15:restartNumberingAfterBreak="0">
    <w:nsid w:val="38AD1701"/>
    <w:multiLevelType w:val="hybridMultilevel"/>
    <w:tmpl w:val="8EE8FFA2"/>
    <w:lvl w:ilvl="0" w:tplc="987C748A">
      <w:start w:val="1"/>
      <w:numFmt w:val="decimal"/>
      <w:lvlText w:val="%1."/>
      <w:lvlJc w:val="left"/>
      <w:pPr>
        <w:ind w:left="1440" w:hanging="360"/>
      </w:pPr>
      <w:rPr>
        <w:rFonts w:asciiTheme="minorHAnsi" w:eastAsiaTheme="minorHAnsi" w:hAnsiTheme="minorHAnsi" w:cs="Calibr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E15486"/>
    <w:multiLevelType w:val="hybridMultilevel"/>
    <w:tmpl w:val="BCA2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36B1D"/>
    <w:multiLevelType w:val="hybridMultilevel"/>
    <w:tmpl w:val="A80E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A58DF"/>
    <w:multiLevelType w:val="hybridMultilevel"/>
    <w:tmpl w:val="FBC8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84CD8"/>
    <w:multiLevelType w:val="hybridMultilevel"/>
    <w:tmpl w:val="7BD8AC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46200A0D"/>
    <w:multiLevelType w:val="multilevel"/>
    <w:tmpl w:val="6E484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E035B5"/>
    <w:multiLevelType w:val="multilevel"/>
    <w:tmpl w:val="39EA4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9B4C77"/>
    <w:multiLevelType w:val="multilevel"/>
    <w:tmpl w:val="5CFCB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F75E8"/>
    <w:multiLevelType w:val="multilevel"/>
    <w:tmpl w:val="17B6E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64E08"/>
    <w:multiLevelType w:val="hybridMultilevel"/>
    <w:tmpl w:val="7420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210F8"/>
    <w:multiLevelType w:val="hybridMultilevel"/>
    <w:tmpl w:val="3ABCB69C"/>
    <w:lvl w:ilvl="0" w:tplc="339AE9EE">
      <w:start w:val="1"/>
      <w:numFmt w:val="decimal"/>
      <w:lvlText w:val="%1)"/>
      <w:lvlJc w:val="left"/>
      <w:pPr>
        <w:ind w:left="1020" w:hanging="360"/>
      </w:pPr>
    </w:lvl>
    <w:lvl w:ilvl="1" w:tplc="0B701EDE">
      <w:start w:val="1"/>
      <w:numFmt w:val="decimal"/>
      <w:lvlText w:val="%2)"/>
      <w:lvlJc w:val="left"/>
      <w:pPr>
        <w:ind w:left="1020" w:hanging="360"/>
      </w:pPr>
    </w:lvl>
    <w:lvl w:ilvl="2" w:tplc="844A769E">
      <w:start w:val="1"/>
      <w:numFmt w:val="decimal"/>
      <w:lvlText w:val="%3)"/>
      <w:lvlJc w:val="left"/>
      <w:pPr>
        <w:ind w:left="1020" w:hanging="360"/>
      </w:pPr>
    </w:lvl>
    <w:lvl w:ilvl="3" w:tplc="1FC08E3A">
      <w:start w:val="1"/>
      <w:numFmt w:val="decimal"/>
      <w:lvlText w:val="%4)"/>
      <w:lvlJc w:val="left"/>
      <w:pPr>
        <w:ind w:left="1020" w:hanging="360"/>
      </w:pPr>
    </w:lvl>
    <w:lvl w:ilvl="4" w:tplc="F3AC96CC">
      <w:start w:val="1"/>
      <w:numFmt w:val="decimal"/>
      <w:lvlText w:val="%5)"/>
      <w:lvlJc w:val="left"/>
      <w:pPr>
        <w:ind w:left="1020" w:hanging="360"/>
      </w:pPr>
    </w:lvl>
    <w:lvl w:ilvl="5" w:tplc="7D5EF254">
      <w:start w:val="1"/>
      <w:numFmt w:val="decimal"/>
      <w:lvlText w:val="%6)"/>
      <w:lvlJc w:val="left"/>
      <w:pPr>
        <w:ind w:left="1020" w:hanging="360"/>
      </w:pPr>
    </w:lvl>
    <w:lvl w:ilvl="6" w:tplc="1396D61E">
      <w:start w:val="1"/>
      <w:numFmt w:val="decimal"/>
      <w:lvlText w:val="%7)"/>
      <w:lvlJc w:val="left"/>
      <w:pPr>
        <w:ind w:left="1020" w:hanging="360"/>
      </w:pPr>
    </w:lvl>
    <w:lvl w:ilvl="7" w:tplc="C854D88E">
      <w:start w:val="1"/>
      <w:numFmt w:val="decimal"/>
      <w:lvlText w:val="%8)"/>
      <w:lvlJc w:val="left"/>
      <w:pPr>
        <w:ind w:left="1020" w:hanging="360"/>
      </w:pPr>
    </w:lvl>
    <w:lvl w:ilvl="8" w:tplc="628869AE">
      <w:start w:val="1"/>
      <w:numFmt w:val="decimal"/>
      <w:lvlText w:val="%9)"/>
      <w:lvlJc w:val="left"/>
      <w:pPr>
        <w:ind w:left="1020" w:hanging="360"/>
      </w:pPr>
    </w:lvl>
  </w:abstractNum>
  <w:abstractNum w:abstractNumId="35" w15:restartNumberingAfterBreak="0">
    <w:nsid w:val="60057659"/>
    <w:multiLevelType w:val="hybridMultilevel"/>
    <w:tmpl w:val="69A0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E6346"/>
    <w:multiLevelType w:val="hybridMultilevel"/>
    <w:tmpl w:val="8E6E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D78FD"/>
    <w:multiLevelType w:val="hybridMultilevel"/>
    <w:tmpl w:val="A74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9060C"/>
    <w:multiLevelType w:val="hybridMultilevel"/>
    <w:tmpl w:val="D4CE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06C71"/>
    <w:multiLevelType w:val="hybridMultilevel"/>
    <w:tmpl w:val="F36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B7C63"/>
    <w:multiLevelType w:val="hybridMultilevel"/>
    <w:tmpl w:val="5BD8D7E4"/>
    <w:lvl w:ilvl="0" w:tplc="ED10078E">
      <w:start w:val="1"/>
      <w:numFmt w:val="bullet"/>
      <w:lvlText w:val=""/>
      <w:lvlJc w:val="left"/>
      <w:pPr>
        <w:ind w:left="2160" w:hanging="360"/>
      </w:pPr>
      <w:rPr>
        <w:rFonts w:ascii="Symbol" w:hAnsi="Symbol"/>
      </w:rPr>
    </w:lvl>
    <w:lvl w:ilvl="1" w:tplc="1B328C56">
      <w:start w:val="1"/>
      <w:numFmt w:val="bullet"/>
      <w:lvlText w:val=""/>
      <w:lvlJc w:val="left"/>
      <w:pPr>
        <w:ind w:left="2160" w:hanging="360"/>
      </w:pPr>
      <w:rPr>
        <w:rFonts w:ascii="Symbol" w:hAnsi="Symbol"/>
      </w:rPr>
    </w:lvl>
    <w:lvl w:ilvl="2" w:tplc="6A6638B4">
      <w:start w:val="1"/>
      <w:numFmt w:val="bullet"/>
      <w:lvlText w:val=""/>
      <w:lvlJc w:val="left"/>
      <w:pPr>
        <w:ind w:left="2160" w:hanging="360"/>
      </w:pPr>
      <w:rPr>
        <w:rFonts w:ascii="Symbol" w:hAnsi="Symbol"/>
      </w:rPr>
    </w:lvl>
    <w:lvl w:ilvl="3" w:tplc="AFCCBB70">
      <w:start w:val="1"/>
      <w:numFmt w:val="bullet"/>
      <w:lvlText w:val=""/>
      <w:lvlJc w:val="left"/>
      <w:pPr>
        <w:ind w:left="2160" w:hanging="360"/>
      </w:pPr>
      <w:rPr>
        <w:rFonts w:ascii="Symbol" w:hAnsi="Symbol"/>
      </w:rPr>
    </w:lvl>
    <w:lvl w:ilvl="4" w:tplc="63CC0BD6">
      <w:start w:val="1"/>
      <w:numFmt w:val="bullet"/>
      <w:lvlText w:val=""/>
      <w:lvlJc w:val="left"/>
      <w:pPr>
        <w:ind w:left="2160" w:hanging="360"/>
      </w:pPr>
      <w:rPr>
        <w:rFonts w:ascii="Symbol" w:hAnsi="Symbol"/>
      </w:rPr>
    </w:lvl>
    <w:lvl w:ilvl="5" w:tplc="9202EB8E">
      <w:start w:val="1"/>
      <w:numFmt w:val="bullet"/>
      <w:lvlText w:val=""/>
      <w:lvlJc w:val="left"/>
      <w:pPr>
        <w:ind w:left="2160" w:hanging="360"/>
      </w:pPr>
      <w:rPr>
        <w:rFonts w:ascii="Symbol" w:hAnsi="Symbol"/>
      </w:rPr>
    </w:lvl>
    <w:lvl w:ilvl="6" w:tplc="5DA4C410">
      <w:start w:val="1"/>
      <w:numFmt w:val="bullet"/>
      <w:lvlText w:val=""/>
      <w:lvlJc w:val="left"/>
      <w:pPr>
        <w:ind w:left="2160" w:hanging="360"/>
      </w:pPr>
      <w:rPr>
        <w:rFonts w:ascii="Symbol" w:hAnsi="Symbol"/>
      </w:rPr>
    </w:lvl>
    <w:lvl w:ilvl="7" w:tplc="1A9AC8CC">
      <w:start w:val="1"/>
      <w:numFmt w:val="bullet"/>
      <w:lvlText w:val=""/>
      <w:lvlJc w:val="left"/>
      <w:pPr>
        <w:ind w:left="2160" w:hanging="360"/>
      </w:pPr>
      <w:rPr>
        <w:rFonts w:ascii="Symbol" w:hAnsi="Symbol"/>
      </w:rPr>
    </w:lvl>
    <w:lvl w:ilvl="8" w:tplc="F18667F6">
      <w:start w:val="1"/>
      <w:numFmt w:val="bullet"/>
      <w:lvlText w:val=""/>
      <w:lvlJc w:val="left"/>
      <w:pPr>
        <w:ind w:left="2160" w:hanging="360"/>
      </w:pPr>
      <w:rPr>
        <w:rFonts w:ascii="Symbol" w:hAnsi="Symbol"/>
      </w:rPr>
    </w:lvl>
  </w:abstractNum>
  <w:abstractNum w:abstractNumId="41" w15:restartNumberingAfterBreak="0">
    <w:nsid w:val="6B030D57"/>
    <w:multiLevelType w:val="hybridMultilevel"/>
    <w:tmpl w:val="A55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00610"/>
    <w:multiLevelType w:val="hybridMultilevel"/>
    <w:tmpl w:val="917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E72CE"/>
    <w:multiLevelType w:val="hybridMultilevel"/>
    <w:tmpl w:val="3F8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73880"/>
    <w:multiLevelType w:val="hybridMultilevel"/>
    <w:tmpl w:val="85AA416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5" w15:restartNumberingAfterBreak="0">
    <w:nsid w:val="7B0F4042"/>
    <w:multiLevelType w:val="hybridMultilevel"/>
    <w:tmpl w:val="B824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03D61"/>
    <w:multiLevelType w:val="hybridMultilevel"/>
    <w:tmpl w:val="0A48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20C1D"/>
    <w:multiLevelType w:val="hybridMultilevel"/>
    <w:tmpl w:val="C972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398115">
    <w:abstractNumId w:val="4"/>
  </w:num>
  <w:num w:numId="2" w16cid:durableId="255670630">
    <w:abstractNumId w:val="35"/>
  </w:num>
  <w:num w:numId="3" w16cid:durableId="1608926136">
    <w:abstractNumId w:val="26"/>
  </w:num>
  <w:num w:numId="4" w16cid:durableId="1040010991">
    <w:abstractNumId w:val="39"/>
  </w:num>
  <w:num w:numId="5" w16cid:durableId="647629384">
    <w:abstractNumId w:val="10"/>
  </w:num>
  <w:num w:numId="6" w16cid:durableId="1441148672">
    <w:abstractNumId w:val="27"/>
  </w:num>
  <w:num w:numId="7" w16cid:durableId="1356420854">
    <w:abstractNumId w:val="30"/>
  </w:num>
  <w:num w:numId="8" w16cid:durableId="635843232">
    <w:abstractNumId w:val="38"/>
  </w:num>
  <w:num w:numId="9" w16cid:durableId="1548027023">
    <w:abstractNumId w:val="11"/>
  </w:num>
  <w:num w:numId="10" w16cid:durableId="1004090751">
    <w:abstractNumId w:val="2"/>
  </w:num>
  <w:num w:numId="11" w16cid:durableId="1497723444">
    <w:abstractNumId w:val="46"/>
  </w:num>
  <w:num w:numId="12" w16cid:durableId="1747729492">
    <w:abstractNumId w:val="17"/>
  </w:num>
  <w:num w:numId="13" w16cid:durableId="1299796948">
    <w:abstractNumId w:val="25"/>
  </w:num>
  <w:num w:numId="14" w16cid:durableId="696583387">
    <w:abstractNumId w:val="43"/>
  </w:num>
  <w:num w:numId="15" w16cid:durableId="1515414618">
    <w:abstractNumId w:val="14"/>
  </w:num>
  <w:num w:numId="16" w16cid:durableId="1054307680">
    <w:abstractNumId w:val="16"/>
  </w:num>
  <w:num w:numId="17" w16cid:durableId="1426850709">
    <w:abstractNumId w:val="7"/>
  </w:num>
  <w:num w:numId="18" w16cid:durableId="385378331">
    <w:abstractNumId w:val="6"/>
  </w:num>
  <w:num w:numId="19" w16cid:durableId="505436542">
    <w:abstractNumId w:val="21"/>
  </w:num>
  <w:num w:numId="20" w16cid:durableId="1942570069">
    <w:abstractNumId w:val="24"/>
  </w:num>
  <w:num w:numId="21" w16cid:durableId="382874294">
    <w:abstractNumId w:val="3"/>
  </w:num>
  <w:num w:numId="22" w16cid:durableId="1229728267">
    <w:abstractNumId w:val="15"/>
  </w:num>
  <w:num w:numId="23" w16cid:durableId="1358920230">
    <w:abstractNumId w:val="32"/>
  </w:num>
  <w:num w:numId="24" w16cid:durableId="755979323">
    <w:abstractNumId w:val="12"/>
  </w:num>
  <w:num w:numId="25" w16cid:durableId="236596537">
    <w:abstractNumId w:val="9"/>
  </w:num>
  <w:num w:numId="26" w16cid:durableId="361322268">
    <w:abstractNumId w:val="19"/>
  </w:num>
  <w:num w:numId="27" w16cid:durableId="1779058755">
    <w:abstractNumId w:val="42"/>
  </w:num>
  <w:num w:numId="28" w16cid:durableId="409622406">
    <w:abstractNumId w:val="8"/>
  </w:num>
  <w:num w:numId="29" w16cid:durableId="349648856">
    <w:abstractNumId w:val="29"/>
  </w:num>
  <w:num w:numId="30" w16cid:durableId="150025659">
    <w:abstractNumId w:val="1"/>
  </w:num>
  <w:num w:numId="31" w16cid:durableId="895435344">
    <w:abstractNumId w:val="33"/>
  </w:num>
  <w:num w:numId="32" w16cid:durableId="296570280">
    <w:abstractNumId w:val="36"/>
  </w:num>
  <w:num w:numId="33" w16cid:durableId="846213312">
    <w:abstractNumId w:val="44"/>
  </w:num>
  <w:num w:numId="34" w16cid:durableId="1612857832">
    <w:abstractNumId w:val="18"/>
  </w:num>
  <w:num w:numId="35" w16cid:durableId="1199203758">
    <w:abstractNumId w:val="0"/>
  </w:num>
  <w:num w:numId="36" w16cid:durableId="1670788050">
    <w:abstractNumId w:val="23"/>
  </w:num>
  <w:num w:numId="37" w16cid:durableId="258371974">
    <w:abstractNumId w:val="47"/>
  </w:num>
  <w:num w:numId="38" w16cid:durableId="658071976">
    <w:abstractNumId w:val="5"/>
  </w:num>
  <w:num w:numId="39" w16cid:durableId="791437149">
    <w:abstractNumId w:val="22"/>
  </w:num>
  <w:num w:numId="40" w16cid:durableId="797139531">
    <w:abstractNumId w:val="31"/>
  </w:num>
  <w:num w:numId="41" w16cid:durableId="453452903">
    <w:abstractNumId w:val="20"/>
  </w:num>
  <w:num w:numId="42" w16cid:durableId="444814495">
    <w:abstractNumId w:val="13"/>
  </w:num>
  <w:num w:numId="43" w16cid:durableId="504326276">
    <w:abstractNumId w:val="37"/>
  </w:num>
  <w:num w:numId="44" w16cid:durableId="454057658">
    <w:abstractNumId w:val="28"/>
  </w:num>
  <w:num w:numId="45" w16cid:durableId="1829053607">
    <w:abstractNumId w:val="41"/>
  </w:num>
  <w:num w:numId="46" w16cid:durableId="1509711694">
    <w:abstractNumId w:val="34"/>
  </w:num>
  <w:num w:numId="47" w16cid:durableId="397292827">
    <w:abstractNumId w:val="45"/>
  </w:num>
  <w:num w:numId="48" w16cid:durableId="191026959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Schuldt">
    <w15:presenceInfo w15:providerId="Windows Live" w15:userId="190c6af5068dc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DB"/>
    <w:rsid w:val="000010F5"/>
    <w:rsid w:val="00003216"/>
    <w:rsid w:val="000123E8"/>
    <w:rsid w:val="00013830"/>
    <w:rsid w:val="00014120"/>
    <w:rsid w:val="000147E2"/>
    <w:rsid w:val="00015136"/>
    <w:rsid w:val="0001655F"/>
    <w:rsid w:val="0001695B"/>
    <w:rsid w:val="000172AA"/>
    <w:rsid w:val="00020C77"/>
    <w:rsid w:val="00021B25"/>
    <w:rsid w:val="00022CEA"/>
    <w:rsid w:val="0002497C"/>
    <w:rsid w:val="00031526"/>
    <w:rsid w:val="000322E2"/>
    <w:rsid w:val="000349B6"/>
    <w:rsid w:val="00045069"/>
    <w:rsid w:val="0005509D"/>
    <w:rsid w:val="00060054"/>
    <w:rsid w:val="00060D0A"/>
    <w:rsid w:val="0006417E"/>
    <w:rsid w:val="0007348E"/>
    <w:rsid w:val="00081D56"/>
    <w:rsid w:val="000828F1"/>
    <w:rsid w:val="00084065"/>
    <w:rsid w:val="000879C3"/>
    <w:rsid w:val="00087DD0"/>
    <w:rsid w:val="00090546"/>
    <w:rsid w:val="000908EA"/>
    <w:rsid w:val="00092548"/>
    <w:rsid w:val="000932BF"/>
    <w:rsid w:val="00093BBB"/>
    <w:rsid w:val="000A04F9"/>
    <w:rsid w:val="000A16B1"/>
    <w:rsid w:val="000B2451"/>
    <w:rsid w:val="000C33E9"/>
    <w:rsid w:val="000C500A"/>
    <w:rsid w:val="000C5CA0"/>
    <w:rsid w:val="000C6374"/>
    <w:rsid w:val="000C7B2D"/>
    <w:rsid w:val="000D0B81"/>
    <w:rsid w:val="000D1F0D"/>
    <w:rsid w:val="000D4D05"/>
    <w:rsid w:val="000D6257"/>
    <w:rsid w:val="000E0D21"/>
    <w:rsid w:val="000E5CB4"/>
    <w:rsid w:val="000F5771"/>
    <w:rsid w:val="000F585B"/>
    <w:rsid w:val="001048EB"/>
    <w:rsid w:val="00105512"/>
    <w:rsid w:val="00107C15"/>
    <w:rsid w:val="00110F96"/>
    <w:rsid w:val="0011619E"/>
    <w:rsid w:val="00117793"/>
    <w:rsid w:val="0012342B"/>
    <w:rsid w:val="00130226"/>
    <w:rsid w:val="00134BB6"/>
    <w:rsid w:val="00157ED4"/>
    <w:rsid w:val="001647D5"/>
    <w:rsid w:val="001671A0"/>
    <w:rsid w:val="00170B58"/>
    <w:rsid w:val="001753C2"/>
    <w:rsid w:val="00176191"/>
    <w:rsid w:val="0017630C"/>
    <w:rsid w:val="00181756"/>
    <w:rsid w:val="00184DC3"/>
    <w:rsid w:val="00187B22"/>
    <w:rsid w:val="001940A1"/>
    <w:rsid w:val="001968C4"/>
    <w:rsid w:val="001A4C87"/>
    <w:rsid w:val="001A6653"/>
    <w:rsid w:val="001A6823"/>
    <w:rsid w:val="001B63C2"/>
    <w:rsid w:val="001B7542"/>
    <w:rsid w:val="001C1A76"/>
    <w:rsid w:val="001C5CA6"/>
    <w:rsid w:val="001C72F1"/>
    <w:rsid w:val="001D4E3A"/>
    <w:rsid w:val="001D55C4"/>
    <w:rsid w:val="001E310D"/>
    <w:rsid w:val="001E385F"/>
    <w:rsid w:val="001E6B24"/>
    <w:rsid w:val="001F562A"/>
    <w:rsid w:val="001F73EE"/>
    <w:rsid w:val="001F783F"/>
    <w:rsid w:val="002019EE"/>
    <w:rsid w:val="0020383F"/>
    <w:rsid w:val="00204997"/>
    <w:rsid w:val="002064FC"/>
    <w:rsid w:val="00210F65"/>
    <w:rsid w:val="002110F2"/>
    <w:rsid w:val="002153C1"/>
    <w:rsid w:val="002162A5"/>
    <w:rsid w:val="002210C5"/>
    <w:rsid w:val="002218CE"/>
    <w:rsid w:val="002309E3"/>
    <w:rsid w:val="00232391"/>
    <w:rsid w:val="00232D7C"/>
    <w:rsid w:val="002419C3"/>
    <w:rsid w:val="00241F8C"/>
    <w:rsid w:val="002455F3"/>
    <w:rsid w:val="00250E76"/>
    <w:rsid w:val="00253CAF"/>
    <w:rsid w:val="00256F86"/>
    <w:rsid w:val="00261A49"/>
    <w:rsid w:val="002664FF"/>
    <w:rsid w:val="00267A19"/>
    <w:rsid w:val="00274777"/>
    <w:rsid w:val="002770BA"/>
    <w:rsid w:val="00280872"/>
    <w:rsid w:val="00281FF4"/>
    <w:rsid w:val="00282CD0"/>
    <w:rsid w:val="00284904"/>
    <w:rsid w:val="00284CDC"/>
    <w:rsid w:val="00285A72"/>
    <w:rsid w:val="00285C3E"/>
    <w:rsid w:val="00286F1A"/>
    <w:rsid w:val="00291E28"/>
    <w:rsid w:val="0029499D"/>
    <w:rsid w:val="0029678D"/>
    <w:rsid w:val="002972C6"/>
    <w:rsid w:val="002A4C2B"/>
    <w:rsid w:val="002A4DD6"/>
    <w:rsid w:val="002A50A8"/>
    <w:rsid w:val="002A6AD7"/>
    <w:rsid w:val="002B029F"/>
    <w:rsid w:val="002B3066"/>
    <w:rsid w:val="002B3552"/>
    <w:rsid w:val="002B5BA7"/>
    <w:rsid w:val="002B66E6"/>
    <w:rsid w:val="002B78FD"/>
    <w:rsid w:val="002C0840"/>
    <w:rsid w:val="002C3F8D"/>
    <w:rsid w:val="002C4B1D"/>
    <w:rsid w:val="002C6C0D"/>
    <w:rsid w:val="002C741E"/>
    <w:rsid w:val="002D6BE4"/>
    <w:rsid w:val="002D7941"/>
    <w:rsid w:val="002E20BC"/>
    <w:rsid w:val="002E2BD3"/>
    <w:rsid w:val="002E2E5C"/>
    <w:rsid w:val="002E2F14"/>
    <w:rsid w:val="002E5D27"/>
    <w:rsid w:val="002E602C"/>
    <w:rsid w:val="002F58B2"/>
    <w:rsid w:val="002F6FE5"/>
    <w:rsid w:val="00301911"/>
    <w:rsid w:val="00305E2C"/>
    <w:rsid w:val="00306FDF"/>
    <w:rsid w:val="00311142"/>
    <w:rsid w:val="003114F7"/>
    <w:rsid w:val="00312AB1"/>
    <w:rsid w:val="00314130"/>
    <w:rsid w:val="003150EE"/>
    <w:rsid w:val="00336CF8"/>
    <w:rsid w:val="003371A0"/>
    <w:rsid w:val="00341B90"/>
    <w:rsid w:val="003423E0"/>
    <w:rsid w:val="0034504C"/>
    <w:rsid w:val="0034775C"/>
    <w:rsid w:val="00357E50"/>
    <w:rsid w:val="00360766"/>
    <w:rsid w:val="00365BEE"/>
    <w:rsid w:val="00366976"/>
    <w:rsid w:val="00370BFF"/>
    <w:rsid w:val="00373DE5"/>
    <w:rsid w:val="00374122"/>
    <w:rsid w:val="003752F1"/>
    <w:rsid w:val="00377EC0"/>
    <w:rsid w:val="00382062"/>
    <w:rsid w:val="00382A61"/>
    <w:rsid w:val="00382C9C"/>
    <w:rsid w:val="003904EE"/>
    <w:rsid w:val="00390B54"/>
    <w:rsid w:val="003944E2"/>
    <w:rsid w:val="003A12D0"/>
    <w:rsid w:val="003A38B1"/>
    <w:rsid w:val="003A4A05"/>
    <w:rsid w:val="003A4CF1"/>
    <w:rsid w:val="003A5A49"/>
    <w:rsid w:val="003A6E64"/>
    <w:rsid w:val="003B02A0"/>
    <w:rsid w:val="003B0DDC"/>
    <w:rsid w:val="003B2EB2"/>
    <w:rsid w:val="003B386D"/>
    <w:rsid w:val="003B4D33"/>
    <w:rsid w:val="003C5A12"/>
    <w:rsid w:val="003C6608"/>
    <w:rsid w:val="003D01B0"/>
    <w:rsid w:val="003D0C75"/>
    <w:rsid w:val="003D0EE7"/>
    <w:rsid w:val="003D1DB4"/>
    <w:rsid w:val="003D52FF"/>
    <w:rsid w:val="003E4C40"/>
    <w:rsid w:val="003F1091"/>
    <w:rsid w:val="003F44DA"/>
    <w:rsid w:val="003F6C6B"/>
    <w:rsid w:val="004005B1"/>
    <w:rsid w:val="0040128D"/>
    <w:rsid w:val="004014E0"/>
    <w:rsid w:val="0040615C"/>
    <w:rsid w:val="004063A4"/>
    <w:rsid w:val="004065D1"/>
    <w:rsid w:val="00406D28"/>
    <w:rsid w:val="00407189"/>
    <w:rsid w:val="00413F65"/>
    <w:rsid w:val="00414481"/>
    <w:rsid w:val="00414729"/>
    <w:rsid w:val="00421789"/>
    <w:rsid w:val="00421F7D"/>
    <w:rsid w:val="00434C5F"/>
    <w:rsid w:val="00440E73"/>
    <w:rsid w:val="004503FE"/>
    <w:rsid w:val="0045103D"/>
    <w:rsid w:val="004510C9"/>
    <w:rsid w:val="00452424"/>
    <w:rsid w:val="0045246F"/>
    <w:rsid w:val="00452C77"/>
    <w:rsid w:val="004560F4"/>
    <w:rsid w:val="0045742F"/>
    <w:rsid w:val="00457B0F"/>
    <w:rsid w:val="00461A5B"/>
    <w:rsid w:val="00462D2E"/>
    <w:rsid w:val="00463A0C"/>
    <w:rsid w:val="0046585B"/>
    <w:rsid w:val="0047201E"/>
    <w:rsid w:val="0047227D"/>
    <w:rsid w:val="00472DFB"/>
    <w:rsid w:val="00473810"/>
    <w:rsid w:val="00473DDA"/>
    <w:rsid w:val="00476AFF"/>
    <w:rsid w:val="00482830"/>
    <w:rsid w:val="00486840"/>
    <w:rsid w:val="00490BCC"/>
    <w:rsid w:val="00494F1B"/>
    <w:rsid w:val="00497E7B"/>
    <w:rsid w:val="004A161B"/>
    <w:rsid w:val="004A25CF"/>
    <w:rsid w:val="004A365D"/>
    <w:rsid w:val="004A733D"/>
    <w:rsid w:val="004B59F1"/>
    <w:rsid w:val="004B5E89"/>
    <w:rsid w:val="004B7922"/>
    <w:rsid w:val="004C59F7"/>
    <w:rsid w:val="004D1EFC"/>
    <w:rsid w:val="004D3023"/>
    <w:rsid w:val="004D4A7D"/>
    <w:rsid w:val="004D5D9F"/>
    <w:rsid w:val="004E1DEC"/>
    <w:rsid w:val="004E3FAD"/>
    <w:rsid w:val="004E4188"/>
    <w:rsid w:val="004F66B0"/>
    <w:rsid w:val="005065F3"/>
    <w:rsid w:val="005118C6"/>
    <w:rsid w:val="00514C3A"/>
    <w:rsid w:val="00515424"/>
    <w:rsid w:val="005157ED"/>
    <w:rsid w:val="0051635F"/>
    <w:rsid w:val="0052031C"/>
    <w:rsid w:val="00521572"/>
    <w:rsid w:val="0053008D"/>
    <w:rsid w:val="0053248A"/>
    <w:rsid w:val="005343ED"/>
    <w:rsid w:val="0053508F"/>
    <w:rsid w:val="00536B5B"/>
    <w:rsid w:val="0054035D"/>
    <w:rsid w:val="005448F3"/>
    <w:rsid w:val="00547894"/>
    <w:rsid w:val="00556F74"/>
    <w:rsid w:val="00560CF1"/>
    <w:rsid w:val="00563285"/>
    <w:rsid w:val="00564DBE"/>
    <w:rsid w:val="005658A4"/>
    <w:rsid w:val="00567603"/>
    <w:rsid w:val="005755CA"/>
    <w:rsid w:val="00576D2B"/>
    <w:rsid w:val="00580960"/>
    <w:rsid w:val="005818CA"/>
    <w:rsid w:val="005844A8"/>
    <w:rsid w:val="005847AC"/>
    <w:rsid w:val="005848C2"/>
    <w:rsid w:val="00591EBD"/>
    <w:rsid w:val="005957EE"/>
    <w:rsid w:val="00595877"/>
    <w:rsid w:val="005A141F"/>
    <w:rsid w:val="005A2CC5"/>
    <w:rsid w:val="005A56B3"/>
    <w:rsid w:val="005A5E29"/>
    <w:rsid w:val="005B08BE"/>
    <w:rsid w:val="005B1507"/>
    <w:rsid w:val="005B32CA"/>
    <w:rsid w:val="005B4A50"/>
    <w:rsid w:val="005B6CE9"/>
    <w:rsid w:val="005C0D66"/>
    <w:rsid w:val="005C5051"/>
    <w:rsid w:val="005C7BB2"/>
    <w:rsid w:val="005D1822"/>
    <w:rsid w:val="005D33B0"/>
    <w:rsid w:val="005D53C4"/>
    <w:rsid w:val="005D6315"/>
    <w:rsid w:val="005D7C9E"/>
    <w:rsid w:val="005E16C1"/>
    <w:rsid w:val="005E5793"/>
    <w:rsid w:val="005F03C2"/>
    <w:rsid w:val="005F20E0"/>
    <w:rsid w:val="005F26E3"/>
    <w:rsid w:val="005F3460"/>
    <w:rsid w:val="005F373A"/>
    <w:rsid w:val="005F418E"/>
    <w:rsid w:val="005F6EDC"/>
    <w:rsid w:val="005F6F10"/>
    <w:rsid w:val="00606C51"/>
    <w:rsid w:val="0061001D"/>
    <w:rsid w:val="00613ED1"/>
    <w:rsid w:val="00615574"/>
    <w:rsid w:val="00616788"/>
    <w:rsid w:val="006204A8"/>
    <w:rsid w:val="0062307F"/>
    <w:rsid w:val="00623D38"/>
    <w:rsid w:val="00632EF7"/>
    <w:rsid w:val="00640C77"/>
    <w:rsid w:val="00640CC0"/>
    <w:rsid w:val="00641A6E"/>
    <w:rsid w:val="006427A3"/>
    <w:rsid w:val="00645611"/>
    <w:rsid w:val="00647964"/>
    <w:rsid w:val="00651E9C"/>
    <w:rsid w:val="006546B5"/>
    <w:rsid w:val="00660FF8"/>
    <w:rsid w:val="006620E5"/>
    <w:rsid w:val="00663607"/>
    <w:rsid w:val="00667484"/>
    <w:rsid w:val="00670E42"/>
    <w:rsid w:val="00674329"/>
    <w:rsid w:val="006755E3"/>
    <w:rsid w:val="00675B3F"/>
    <w:rsid w:val="006767F9"/>
    <w:rsid w:val="006809C7"/>
    <w:rsid w:val="00681766"/>
    <w:rsid w:val="00682C5E"/>
    <w:rsid w:val="00685C19"/>
    <w:rsid w:val="006867C6"/>
    <w:rsid w:val="0069118C"/>
    <w:rsid w:val="00694194"/>
    <w:rsid w:val="006950ED"/>
    <w:rsid w:val="006A140D"/>
    <w:rsid w:val="006A1F0F"/>
    <w:rsid w:val="006A68E1"/>
    <w:rsid w:val="006A766F"/>
    <w:rsid w:val="006B2444"/>
    <w:rsid w:val="006C097B"/>
    <w:rsid w:val="006C53A3"/>
    <w:rsid w:val="006C5817"/>
    <w:rsid w:val="006D161D"/>
    <w:rsid w:val="006D2A13"/>
    <w:rsid w:val="006D504F"/>
    <w:rsid w:val="006D5EEE"/>
    <w:rsid w:val="006D6DC7"/>
    <w:rsid w:val="006D7B4D"/>
    <w:rsid w:val="006F0BD6"/>
    <w:rsid w:val="006F4865"/>
    <w:rsid w:val="00704070"/>
    <w:rsid w:val="00714E93"/>
    <w:rsid w:val="00715210"/>
    <w:rsid w:val="00716C7E"/>
    <w:rsid w:val="00717033"/>
    <w:rsid w:val="007172F2"/>
    <w:rsid w:val="007216E8"/>
    <w:rsid w:val="00723266"/>
    <w:rsid w:val="00725449"/>
    <w:rsid w:val="00732A0C"/>
    <w:rsid w:val="007344DC"/>
    <w:rsid w:val="00734737"/>
    <w:rsid w:val="00736BCE"/>
    <w:rsid w:val="007437E5"/>
    <w:rsid w:val="00744C2B"/>
    <w:rsid w:val="00745B08"/>
    <w:rsid w:val="007468F4"/>
    <w:rsid w:val="00753505"/>
    <w:rsid w:val="0075379F"/>
    <w:rsid w:val="00753AFE"/>
    <w:rsid w:val="007545B2"/>
    <w:rsid w:val="007572A0"/>
    <w:rsid w:val="00761D0E"/>
    <w:rsid w:val="0077203E"/>
    <w:rsid w:val="007747B5"/>
    <w:rsid w:val="007764C1"/>
    <w:rsid w:val="00777125"/>
    <w:rsid w:val="00777D10"/>
    <w:rsid w:val="007808D2"/>
    <w:rsid w:val="007809E9"/>
    <w:rsid w:val="007813FA"/>
    <w:rsid w:val="00787B48"/>
    <w:rsid w:val="007907DE"/>
    <w:rsid w:val="007910D0"/>
    <w:rsid w:val="007918F4"/>
    <w:rsid w:val="00792DD6"/>
    <w:rsid w:val="007962FF"/>
    <w:rsid w:val="007A126D"/>
    <w:rsid w:val="007A2023"/>
    <w:rsid w:val="007A3A86"/>
    <w:rsid w:val="007A4BEC"/>
    <w:rsid w:val="007A7A41"/>
    <w:rsid w:val="007B7FBD"/>
    <w:rsid w:val="007C07D8"/>
    <w:rsid w:val="007C15E8"/>
    <w:rsid w:val="007C45C2"/>
    <w:rsid w:val="007C4A32"/>
    <w:rsid w:val="007D6EAF"/>
    <w:rsid w:val="007E43F8"/>
    <w:rsid w:val="007E57C5"/>
    <w:rsid w:val="007E677A"/>
    <w:rsid w:val="007F1752"/>
    <w:rsid w:val="008010BB"/>
    <w:rsid w:val="008013AE"/>
    <w:rsid w:val="00805957"/>
    <w:rsid w:val="0080651B"/>
    <w:rsid w:val="00806C68"/>
    <w:rsid w:val="00810767"/>
    <w:rsid w:val="0081245F"/>
    <w:rsid w:val="00814C99"/>
    <w:rsid w:val="008158CF"/>
    <w:rsid w:val="0081686C"/>
    <w:rsid w:val="00816D80"/>
    <w:rsid w:val="00817695"/>
    <w:rsid w:val="00823F04"/>
    <w:rsid w:val="00826064"/>
    <w:rsid w:val="00833A5D"/>
    <w:rsid w:val="0083429A"/>
    <w:rsid w:val="00841A37"/>
    <w:rsid w:val="00841EB2"/>
    <w:rsid w:val="0084207C"/>
    <w:rsid w:val="00843D35"/>
    <w:rsid w:val="00846B6A"/>
    <w:rsid w:val="00847BC8"/>
    <w:rsid w:val="00850A23"/>
    <w:rsid w:val="00850AAE"/>
    <w:rsid w:val="00850F31"/>
    <w:rsid w:val="0085430C"/>
    <w:rsid w:val="00854AF9"/>
    <w:rsid w:val="00856345"/>
    <w:rsid w:val="00856E35"/>
    <w:rsid w:val="0085706A"/>
    <w:rsid w:val="00857C45"/>
    <w:rsid w:val="00861368"/>
    <w:rsid w:val="008624BE"/>
    <w:rsid w:val="00862977"/>
    <w:rsid w:val="00862A3D"/>
    <w:rsid w:val="00870E8B"/>
    <w:rsid w:val="00871397"/>
    <w:rsid w:val="00872811"/>
    <w:rsid w:val="0087377D"/>
    <w:rsid w:val="008824AB"/>
    <w:rsid w:val="00884A11"/>
    <w:rsid w:val="00886F96"/>
    <w:rsid w:val="008917AB"/>
    <w:rsid w:val="00891A0C"/>
    <w:rsid w:val="00894339"/>
    <w:rsid w:val="00895A37"/>
    <w:rsid w:val="008A640E"/>
    <w:rsid w:val="008B30B8"/>
    <w:rsid w:val="008B6139"/>
    <w:rsid w:val="008B7945"/>
    <w:rsid w:val="008C3EE9"/>
    <w:rsid w:val="008C541B"/>
    <w:rsid w:val="008D0F94"/>
    <w:rsid w:val="008D16D7"/>
    <w:rsid w:val="008D65CF"/>
    <w:rsid w:val="008E0CCD"/>
    <w:rsid w:val="008E28C0"/>
    <w:rsid w:val="008E77D3"/>
    <w:rsid w:val="008F0C9F"/>
    <w:rsid w:val="008F197D"/>
    <w:rsid w:val="008F6503"/>
    <w:rsid w:val="008F67CB"/>
    <w:rsid w:val="0090185D"/>
    <w:rsid w:val="00901D7B"/>
    <w:rsid w:val="00917D1E"/>
    <w:rsid w:val="00920FD3"/>
    <w:rsid w:val="00922AF1"/>
    <w:rsid w:val="00923225"/>
    <w:rsid w:val="00924C7E"/>
    <w:rsid w:val="009301CB"/>
    <w:rsid w:val="00930756"/>
    <w:rsid w:val="009310DF"/>
    <w:rsid w:val="0093305A"/>
    <w:rsid w:val="0093441E"/>
    <w:rsid w:val="00936E6F"/>
    <w:rsid w:val="00942BE6"/>
    <w:rsid w:val="009459BD"/>
    <w:rsid w:val="00945E24"/>
    <w:rsid w:val="00953AC1"/>
    <w:rsid w:val="00954078"/>
    <w:rsid w:val="0095517C"/>
    <w:rsid w:val="00957E01"/>
    <w:rsid w:val="00973282"/>
    <w:rsid w:val="00974A01"/>
    <w:rsid w:val="00983883"/>
    <w:rsid w:val="00986226"/>
    <w:rsid w:val="0098707A"/>
    <w:rsid w:val="0098736D"/>
    <w:rsid w:val="00993020"/>
    <w:rsid w:val="009962E3"/>
    <w:rsid w:val="009965BC"/>
    <w:rsid w:val="009A275E"/>
    <w:rsid w:val="009A2BE6"/>
    <w:rsid w:val="009A3EFA"/>
    <w:rsid w:val="009A3F74"/>
    <w:rsid w:val="009B065E"/>
    <w:rsid w:val="009C04D6"/>
    <w:rsid w:val="009C5F5D"/>
    <w:rsid w:val="009C6C3D"/>
    <w:rsid w:val="009D3CDF"/>
    <w:rsid w:val="009D4555"/>
    <w:rsid w:val="009F00E4"/>
    <w:rsid w:val="009F6375"/>
    <w:rsid w:val="00A014F1"/>
    <w:rsid w:val="00A0332A"/>
    <w:rsid w:val="00A0623D"/>
    <w:rsid w:val="00A101B7"/>
    <w:rsid w:val="00A13978"/>
    <w:rsid w:val="00A1456B"/>
    <w:rsid w:val="00A20146"/>
    <w:rsid w:val="00A25B1B"/>
    <w:rsid w:val="00A266C1"/>
    <w:rsid w:val="00A30DAE"/>
    <w:rsid w:val="00A30EDB"/>
    <w:rsid w:val="00A41403"/>
    <w:rsid w:val="00A41B08"/>
    <w:rsid w:val="00A44276"/>
    <w:rsid w:val="00A45089"/>
    <w:rsid w:val="00A45EC2"/>
    <w:rsid w:val="00A47093"/>
    <w:rsid w:val="00A52BD6"/>
    <w:rsid w:val="00A53043"/>
    <w:rsid w:val="00A548E3"/>
    <w:rsid w:val="00A55E0E"/>
    <w:rsid w:val="00A56D4D"/>
    <w:rsid w:val="00A57151"/>
    <w:rsid w:val="00A610ED"/>
    <w:rsid w:val="00A6237F"/>
    <w:rsid w:val="00A6585D"/>
    <w:rsid w:val="00A66D65"/>
    <w:rsid w:val="00A67113"/>
    <w:rsid w:val="00A70CB5"/>
    <w:rsid w:val="00A71CAA"/>
    <w:rsid w:val="00A7226B"/>
    <w:rsid w:val="00A81010"/>
    <w:rsid w:val="00A84920"/>
    <w:rsid w:val="00A85315"/>
    <w:rsid w:val="00A86D65"/>
    <w:rsid w:val="00A91EEB"/>
    <w:rsid w:val="00A96581"/>
    <w:rsid w:val="00A96901"/>
    <w:rsid w:val="00A972D3"/>
    <w:rsid w:val="00AA17BB"/>
    <w:rsid w:val="00AA448F"/>
    <w:rsid w:val="00AA5636"/>
    <w:rsid w:val="00AB3AE9"/>
    <w:rsid w:val="00AC1498"/>
    <w:rsid w:val="00AC2F36"/>
    <w:rsid w:val="00AC464C"/>
    <w:rsid w:val="00AC628B"/>
    <w:rsid w:val="00AD3404"/>
    <w:rsid w:val="00AD367D"/>
    <w:rsid w:val="00AD68AB"/>
    <w:rsid w:val="00AD7170"/>
    <w:rsid w:val="00AE0878"/>
    <w:rsid w:val="00AE2AE0"/>
    <w:rsid w:val="00AE56F4"/>
    <w:rsid w:val="00AE60BD"/>
    <w:rsid w:val="00AE6215"/>
    <w:rsid w:val="00AF5BB4"/>
    <w:rsid w:val="00AF63BF"/>
    <w:rsid w:val="00AF7746"/>
    <w:rsid w:val="00B01159"/>
    <w:rsid w:val="00B04431"/>
    <w:rsid w:val="00B07864"/>
    <w:rsid w:val="00B112C6"/>
    <w:rsid w:val="00B11FCA"/>
    <w:rsid w:val="00B132A3"/>
    <w:rsid w:val="00B158F1"/>
    <w:rsid w:val="00B1623D"/>
    <w:rsid w:val="00B2037D"/>
    <w:rsid w:val="00B23741"/>
    <w:rsid w:val="00B27A53"/>
    <w:rsid w:val="00B409E5"/>
    <w:rsid w:val="00B416C4"/>
    <w:rsid w:val="00B45667"/>
    <w:rsid w:val="00B47A20"/>
    <w:rsid w:val="00B544A2"/>
    <w:rsid w:val="00B6376C"/>
    <w:rsid w:val="00B6458F"/>
    <w:rsid w:val="00B667A9"/>
    <w:rsid w:val="00B66EE1"/>
    <w:rsid w:val="00B72752"/>
    <w:rsid w:val="00B75F70"/>
    <w:rsid w:val="00B7738E"/>
    <w:rsid w:val="00B83644"/>
    <w:rsid w:val="00B911B9"/>
    <w:rsid w:val="00B9137C"/>
    <w:rsid w:val="00B929D1"/>
    <w:rsid w:val="00B94CE6"/>
    <w:rsid w:val="00BA0826"/>
    <w:rsid w:val="00BA156F"/>
    <w:rsid w:val="00BA2A32"/>
    <w:rsid w:val="00BA3CDC"/>
    <w:rsid w:val="00BB0543"/>
    <w:rsid w:val="00BB4B56"/>
    <w:rsid w:val="00BB6555"/>
    <w:rsid w:val="00BC481D"/>
    <w:rsid w:val="00BC6E7D"/>
    <w:rsid w:val="00BD3003"/>
    <w:rsid w:val="00BD3257"/>
    <w:rsid w:val="00BD4763"/>
    <w:rsid w:val="00BD4E4E"/>
    <w:rsid w:val="00BD6911"/>
    <w:rsid w:val="00BD6DAD"/>
    <w:rsid w:val="00BE0FA6"/>
    <w:rsid w:val="00BE1131"/>
    <w:rsid w:val="00BE2EF8"/>
    <w:rsid w:val="00BE39EE"/>
    <w:rsid w:val="00BE5D67"/>
    <w:rsid w:val="00BE7B54"/>
    <w:rsid w:val="00BF03EB"/>
    <w:rsid w:val="00BF4D66"/>
    <w:rsid w:val="00BF5C0F"/>
    <w:rsid w:val="00BF6AB5"/>
    <w:rsid w:val="00BF764B"/>
    <w:rsid w:val="00C0126D"/>
    <w:rsid w:val="00C02330"/>
    <w:rsid w:val="00C02BFF"/>
    <w:rsid w:val="00C0579B"/>
    <w:rsid w:val="00C05FC7"/>
    <w:rsid w:val="00C10262"/>
    <w:rsid w:val="00C1319D"/>
    <w:rsid w:val="00C1408D"/>
    <w:rsid w:val="00C1637A"/>
    <w:rsid w:val="00C21CE5"/>
    <w:rsid w:val="00C2269A"/>
    <w:rsid w:val="00C26312"/>
    <w:rsid w:val="00C31AEA"/>
    <w:rsid w:val="00C35378"/>
    <w:rsid w:val="00C40238"/>
    <w:rsid w:val="00C45AFD"/>
    <w:rsid w:val="00C47974"/>
    <w:rsid w:val="00C47BB0"/>
    <w:rsid w:val="00C52AC1"/>
    <w:rsid w:val="00C52BE4"/>
    <w:rsid w:val="00C5458F"/>
    <w:rsid w:val="00C56B77"/>
    <w:rsid w:val="00C60036"/>
    <w:rsid w:val="00C66885"/>
    <w:rsid w:val="00C67351"/>
    <w:rsid w:val="00C755E6"/>
    <w:rsid w:val="00C77D65"/>
    <w:rsid w:val="00C836EC"/>
    <w:rsid w:val="00C83BCC"/>
    <w:rsid w:val="00C84E79"/>
    <w:rsid w:val="00C879EB"/>
    <w:rsid w:val="00C87EB4"/>
    <w:rsid w:val="00C903FD"/>
    <w:rsid w:val="00C9172A"/>
    <w:rsid w:val="00C943B0"/>
    <w:rsid w:val="00C943F0"/>
    <w:rsid w:val="00C95516"/>
    <w:rsid w:val="00CA5F03"/>
    <w:rsid w:val="00CB4270"/>
    <w:rsid w:val="00CC4A1B"/>
    <w:rsid w:val="00CC62B7"/>
    <w:rsid w:val="00CC7BAD"/>
    <w:rsid w:val="00CC7F18"/>
    <w:rsid w:val="00CD0B47"/>
    <w:rsid w:val="00CD2557"/>
    <w:rsid w:val="00CD3ED7"/>
    <w:rsid w:val="00CD55C8"/>
    <w:rsid w:val="00CD601B"/>
    <w:rsid w:val="00CE73B3"/>
    <w:rsid w:val="00CF57F5"/>
    <w:rsid w:val="00CF5A81"/>
    <w:rsid w:val="00CF7E02"/>
    <w:rsid w:val="00D01B8F"/>
    <w:rsid w:val="00D02A59"/>
    <w:rsid w:val="00D07989"/>
    <w:rsid w:val="00D10FF1"/>
    <w:rsid w:val="00D140B0"/>
    <w:rsid w:val="00D16B8C"/>
    <w:rsid w:val="00D23E7D"/>
    <w:rsid w:val="00D24018"/>
    <w:rsid w:val="00D266F5"/>
    <w:rsid w:val="00D30820"/>
    <w:rsid w:val="00D35F28"/>
    <w:rsid w:val="00D4018F"/>
    <w:rsid w:val="00D43F0B"/>
    <w:rsid w:val="00D46BC1"/>
    <w:rsid w:val="00D55208"/>
    <w:rsid w:val="00D5733C"/>
    <w:rsid w:val="00D67265"/>
    <w:rsid w:val="00D741D1"/>
    <w:rsid w:val="00D746AE"/>
    <w:rsid w:val="00D819D3"/>
    <w:rsid w:val="00D84678"/>
    <w:rsid w:val="00D87F29"/>
    <w:rsid w:val="00DA49D1"/>
    <w:rsid w:val="00DB17B1"/>
    <w:rsid w:val="00DB2630"/>
    <w:rsid w:val="00DB26FD"/>
    <w:rsid w:val="00DB518C"/>
    <w:rsid w:val="00DC3F4C"/>
    <w:rsid w:val="00DC4809"/>
    <w:rsid w:val="00DD143C"/>
    <w:rsid w:val="00DD1FCE"/>
    <w:rsid w:val="00DE3CF8"/>
    <w:rsid w:val="00DE5423"/>
    <w:rsid w:val="00DF2F84"/>
    <w:rsid w:val="00DF36A4"/>
    <w:rsid w:val="00DF3ADB"/>
    <w:rsid w:val="00DF40BF"/>
    <w:rsid w:val="00E04CA4"/>
    <w:rsid w:val="00E0638E"/>
    <w:rsid w:val="00E2078E"/>
    <w:rsid w:val="00E22AD7"/>
    <w:rsid w:val="00E26051"/>
    <w:rsid w:val="00E26BFC"/>
    <w:rsid w:val="00E2752B"/>
    <w:rsid w:val="00E30BB2"/>
    <w:rsid w:val="00E31D68"/>
    <w:rsid w:val="00E32A21"/>
    <w:rsid w:val="00E467A5"/>
    <w:rsid w:val="00E46DEC"/>
    <w:rsid w:val="00E471E6"/>
    <w:rsid w:val="00E479FE"/>
    <w:rsid w:val="00E51F8B"/>
    <w:rsid w:val="00E57C75"/>
    <w:rsid w:val="00E6142B"/>
    <w:rsid w:val="00E62E77"/>
    <w:rsid w:val="00E63802"/>
    <w:rsid w:val="00E6409A"/>
    <w:rsid w:val="00E67A65"/>
    <w:rsid w:val="00E713D7"/>
    <w:rsid w:val="00E72C6A"/>
    <w:rsid w:val="00E742F1"/>
    <w:rsid w:val="00E765DE"/>
    <w:rsid w:val="00E83CC3"/>
    <w:rsid w:val="00E845DC"/>
    <w:rsid w:val="00E87523"/>
    <w:rsid w:val="00E93356"/>
    <w:rsid w:val="00E93689"/>
    <w:rsid w:val="00E94098"/>
    <w:rsid w:val="00E96FFB"/>
    <w:rsid w:val="00EA05E2"/>
    <w:rsid w:val="00EA164E"/>
    <w:rsid w:val="00EA471C"/>
    <w:rsid w:val="00EA4AFF"/>
    <w:rsid w:val="00EA5F12"/>
    <w:rsid w:val="00EA7E00"/>
    <w:rsid w:val="00EB3FF5"/>
    <w:rsid w:val="00EB48CE"/>
    <w:rsid w:val="00EB54C8"/>
    <w:rsid w:val="00EB5BC7"/>
    <w:rsid w:val="00EB69E6"/>
    <w:rsid w:val="00ED45CC"/>
    <w:rsid w:val="00ED6022"/>
    <w:rsid w:val="00ED7716"/>
    <w:rsid w:val="00EE1A5E"/>
    <w:rsid w:val="00EE76DF"/>
    <w:rsid w:val="00EE7F42"/>
    <w:rsid w:val="00EF06F4"/>
    <w:rsid w:val="00EF134E"/>
    <w:rsid w:val="00EF4E8C"/>
    <w:rsid w:val="00EF5909"/>
    <w:rsid w:val="00EF7DD3"/>
    <w:rsid w:val="00F005ED"/>
    <w:rsid w:val="00F01A95"/>
    <w:rsid w:val="00F03706"/>
    <w:rsid w:val="00F070EB"/>
    <w:rsid w:val="00F11440"/>
    <w:rsid w:val="00F11569"/>
    <w:rsid w:val="00F14501"/>
    <w:rsid w:val="00F160C5"/>
    <w:rsid w:val="00F16DF3"/>
    <w:rsid w:val="00F17DA7"/>
    <w:rsid w:val="00F203C2"/>
    <w:rsid w:val="00F2225A"/>
    <w:rsid w:val="00F222FC"/>
    <w:rsid w:val="00F23824"/>
    <w:rsid w:val="00F26869"/>
    <w:rsid w:val="00F31A13"/>
    <w:rsid w:val="00F342E7"/>
    <w:rsid w:val="00F3459A"/>
    <w:rsid w:val="00F34EC3"/>
    <w:rsid w:val="00F355E3"/>
    <w:rsid w:val="00F36719"/>
    <w:rsid w:val="00F41AAF"/>
    <w:rsid w:val="00F52A86"/>
    <w:rsid w:val="00F53296"/>
    <w:rsid w:val="00F61A80"/>
    <w:rsid w:val="00F6274B"/>
    <w:rsid w:val="00F656F5"/>
    <w:rsid w:val="00F70F1B"/>
    <w:rsid w:val="00F70F78"/>
    <w:rsid w:val="00F71ABA"/>
    <w:rsid w:val="00F721C3"/>
    <w:rsid w:val="00F73A1F"/>
    <w:rsid w:val="00F76CAB"/>
    <w:rsid w:val="00F819DF"/>
    <w:rsid w:val="00F824D4"/>
    <w:rsid w:val="00F86E23"/>
    <w:rsid w:val="00F90387"/>
    <w:rsid w:val="00F91367"/>
    <w:rsid w:val="00FA00F2"/>
    <w:rsid w:val="00FA2F20"/>
    <w:rsid w:val="00FA3B79"/>
    <w:rsid w:val="00FA6471"/>
    <w:rsid w:val="00FA6E8C"/>
    <w:rsid w:val="00FA6FD6"/>
    <w:rsid w:val="00FB3B93"/>
    <w:rsid w:val="00FB59AA"/>
    <w:rsid w:val="00FB60F7"/>
    <w:rsid w:val="00FB66FE"/>
    <w:rsid w:val="00FC3407"/>
    <w:rsid w:val="00FC3AB6"/>
    <w:rsid w:val="00FC5442"/>
    <w:rsid w:val="00FD039C"/>
    <w:rsid w:val="00FF18C9"/>
    <w:rsid w:val="00FF3621"/>
    <w:rsid w:val="00FF5C7A"/>
    <w:rsid w:val="00FF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086D"/>
  <w15:chartTrackingRefBased/>
  <w15:docId w15:val="{007C387E-DCE2-4889-AD11-7CF2894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ADB"/>
    <w:rPr>
      <w:rFonts w:eastAsiaTheme="majorEastAsia" w:cstheme="majorBidi"/>
      <w:color w:val="272727" w:themeColor="text1" w:themeTint="D8"/>
    </w:rPr>
  </w:style>
  <w:style w:type="paragraph" w:styleId="Title">
    <w:name w:val="Title"/>
    <w:basedOn w:val="Normal"/>
    <w:next w:val="Normal"/>
    <w:link w:val="TitleChar"/>
    <w:uiPriority w:val="10"/>
    <w:qFormat/>
    <w:rsid w:val="00DF3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ADB"/>
    <w:pPr>
      <w:spacing w:before="160"/>
      <w:jc w:val="center"/>
    </w:pPr>
    <w:rPr>
      <w:i/>
      <w:iCs/>
      <w:color w:val="404040" w:themeColor="text1" w:themeTint="BF"/>
    </w:rPr>
  </w:style>
  <w:style w:type="character" w:customStyle="1" w:styleId="QuoteChar">
    <w:name w:val="Quote Char"/>
    <w:basedOn w:val="DefaultParagraphFont"/>
    <w:link w:val="Quote"/>
    <w:uiPriority w:val="29"/>
    <w:rsid w:val="00DF3ADB"/>
    <w:rPr>
      <w:i/>
      <w:iCs/>
      <w:color w:val="404040" w:themeColor="text1" w:themeTint="BF"/>
    </w:rPr>
  </w:style>
  <w:style w:type="paragraph" w:styleId="ListParagraph">
    <w:name w:val="List Paragraph"/>
    <w:basedOn w:val="Normal"/>
    <w:uiPriority w:val="34"/>
    <w:qFormat/>
    <w:rsid w:val="00DF3ADB"/>
    <w:pPr>
      <w:ind w:left="720"/>
      <w:contextualSpacing/>
    </w:pPr>
  </w:style>
  <w:style w:type="character" w:styleId="IntenseEmphasis">
    <w:name w:val="Intense Emphasis"/>
    <w:basedOn w:val="DefaultParagraphFont"/>
    <w:uiPriority w:val="21"/>
    <w:qFormat/>
    <w:rsid w:val="00DF3ADB"/>
    <w:rPr>
      <w:i/>
      <w:iCs/>
      <w:color w:val="0F4761" w:themeColor="accent1" w:themeShade="BF"/>
    </w:rPr>
  </w:style>
  <w:style w:type="paragraph" w:styleId="IntenseQuote">
    <w:name w:val="Intense Quote"/>
    <w:basedOn w:val="Normal"/>
    <w:next w:val="Normal"/>
    <w:link w:val="IntenseQuoteChar"/>
    <w:uiPriority w:val="30"/>
    <w:qFormat/>
    <w:rsid w:val="00DF3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ADB"/>
    <w:rPr>
      <w:i/>
      <w:iCs/>
      <w:color w:val="0F4761" w:themeColor="accent1" w:themeShade="BF"/>
    </w:rPr>
  </w:style>
  <w:style w:type="character" w:styleId="IntenseReference">
    <w:name w:val="Intense Reference"/>
    <w:basedOn w:val="DefaultParagraphFont"/>
    <w:uiPriority w:val="32"/>
    <w:qFormat/>
    <w:rsid w:val="00DF3ADB"/>
    <w:rPr>
      <w:b/>
      <w:bCs/>
      <w:smallCaps/>
      <w:color w:val="0F4761" w:themeColor="accent1" w:themeShade="BF"/>
      <w:spacing w:val="5"/>
    </w:rPr>
  </w:style>
  <w:style w:type="paragraph" w:styleId="NoSpacing">
    <w:name w:val="No Spacing"/>
    <w:uiPriority w:val="1"/>
    <w:qFormat/>
    <w:rsid w:val="00DF3ADB"/>
    <w:pPr>
      <w:spacing w:after="0" w:line="240" w:lineRule="auto"/>
    </w:pPr>
  </w:style>
  <w:style w:type="character" w:styleId="CommentReference">
    <w:name w:val="annotation reference"/>
    <w:basedOn w:val="DefaultParagraphFont"/>
    <w:uiPriority w:val="99"/>
    <w:semiHidden/>
    <w:unhideWhenUsed/>
    <w:rsid w:val="00DF36A4"/>
    <w:rPr>
      <w:sz w:val="16"/>
      <w:szCs w:val="16"/>
    </w:rPr>
  </w:style>
  <w:style w:type="character" w:styleId="Hyperlink">
    <w:name w:val="Hyperlink"/>
    <w:basedOn w:val="DefaultParagraphFont"/>
    <w:uiPriority w:val="99"/>
    <w:unhideWhenUsed/>
    <w:rsid w:val="00C60036"/>
    <w:rPr>
      <w:color w:val="0000FF"/>
      <w:u w:val="single"/>
    </w:rPr>
  </w:style>
  <w:style w:type="paragraph" w:styleId="CommentText">
    <w:name w:val="annotation text"/>
    <w:basedOn w:val="Normal"/>
    <w:link w:val="CommentTextChar"/>
    <w:uiPriority w:val="99"/>
    <w:unhideWhenUsed/>
    <w:rsid w:val="000D0B81"/>
    <w:pPr>
      <w:spacing w:line="240" w:lineRule="auto"/>
    </w:pPr>
    <w:rPr>
      <w:sz w:val="20"/>
      <w:szCs w:val="20"/>
    </w:rPr>
  </w:style>
  <w:style w:type="character" w:customStyle="1" w:styleId="CommentTextChar">
    <w:name w:val="Comment Text Char"/>
    <w:basedOn w:val="DefaultParagraphFont"/>
    <w:link w:val="CommentText"/>
    <w:uiPriority w:val="99"/>
    <w:rsid w:val="000D0B81"/>
    <w:rPr>
      <w:sz w:val="20"/>
      <w:szCs w:val="20"/>
    </w:rPr>
  </w:style>
  <w:style w:type="paragraph" w:styleId="CommentSubject">
    <w:name w:val="annotation subject"/>
    <w:basedOn w:val="CommentText"/>
    <w:next w:val="CommentText"/>
    <w:link w:val="CommentSubjectChar"/>
    <w:uiPriority w:val="99"/>
    <w:semiHidden/>
    <w:unhideWhenUsed/>
    <w:rsid w:val="00F656F5"/>
    <w:rPr>
      <w:b/>
      <w:bCs/>
    </w:rPr>
  </w:style>
  <w:style w:type="character" w:customStyle="1" w:styleId="CommentSubjectChar">
    <w:name w:val="Comment Subject Char"/>
    <w:basedOn w:val="CommentTextChar"/>
    <w:link w:val="CommentSubject"/>
    <w:uiPriority w:val="99"/>
    <w:semiHidden/>
    <w:rsid w:val="00F656F5"/>
    <w:rPr>
      <w:b/>
      <w:bCs/>
      <w:sz w:val="20"/>
      <w:szCs w:val="20"/>
    </w:rPr>
  </w:style>
  <w:style w:type="paragraph" w:styleId="FootnoteText">
    <w:name w:val="footnote text"/>
    <w:basedOn w:val="Normal"/>
    <w:link w:val="FootnoteTextChar"/>
    <w:uiPriority w:val="99"/>
    <w:semiHidden/>
    <w:unhideWhenUsed/>
    <w:rsid w:val="00E96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FFB"/>
    <w:rPr>
      <w:sz w:val="20"/>
      <w:szCs w:val="20"/>
    </w:rPr>
  </w:style>
  <w:style w:type="character" w:styleId="FootnoteReference">
    <w:name w:val="footnote reference"/>
    <w:basedOn w:val="DefaultParagraphFont"/>
    <w:uiPriority w:val="99"/>
    <w:semiHidden/>
    <w:unhideWhenUsed/>
    <w:rsid w:val="00E96FFB"/>
    <w:rPr>
      <w:vertAlign w:val="superscript"/>
    </w:rPr>
  </w:style>
  <w:style w:type="character" w:styleId="Strong">
    <w:name w:val="Strong"/>
    <w:basedOn w:val="DefaultParagraphFont"/>
    <w:uiPriority w:val="22"/>
    <w:qFormat/>
    <w:rsid w:val="004560F4"/>
    <w:rPr>
      <w:b/>
      <w:bCs/>
    </w:rPr>
  </w:style>
  <w:style w:type="paragraph" w:styleId="NormalWeb">
    <w:name w:val="Normal (Web)"/>
    <w:basedOn w:val="Normal"/>
    <w:uiPriority w:val="99"/>
    <w:unhideWhenUsed/>
    <w:rsid w:val="00BB65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f0">
    <w:name w:val="pf0"/>
    <w:basedOn w:val="Normal"/>
    <w:rsid w:val="00DE54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DE5423"/>
    <w:rPr>
      <w:rFonts w:ascii="Segoe UI" w:hAnsi="Segoe UI" w:cs="Segoe UI" w:hint="default"/>
      <w:sz w:val="18"/>
      <w:szCs w:val="18"/>
    </w:rPr>
  </w:style>
  <w:style w:type="character" w:styleId="UnresolvedMention">
    <w:name w:val="Unresolved Mention"/>
    <w:basedOn w:val="DefaultParagraphFont"/>
    <w:uiPriority w:val="99"/>
    <w:semiHidden/>
    <w:unhideWhenUsed/>
    <w:rsid w:val="000A16B1"/>
    <w:rPr>
      <w:color w:val="605E5C"/>
      <w:shd w:val="clear" w:color="auto" w:fill="E1DFDD"/>
    </w:rPr>
  </w:style>
  <w:style w:type="paragraph" w:styleId="Header">
    <w:name w:val="header"/>
    <w:basedOn w:val="Normal"/>
    <w:link w:val="HeaderChar"/>
    <w:uiPriority w:val="99"/>
    <w:unhideWhenUsed/>
    <w:rsid w:val="00347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5C"/>
  </w:style>
  <w:style w:type="paragraph" w:styleId="Footer">
    <w:name w:val="footer"/>
    <w:basedOn w:val="Normal"/>
    <w:link w:val="FooterChar"/>
    <w:uiPriority w:val="99"/>
    <w:unhideWhenUsed/>
    <w:rsid w:val="00347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mgwa.org/documents/whitepapers/Drain_Tiles_and_Groundwater_Resources.pdf" TargetMode="External"/><Relationship Id="rId3" Type="http://schemas.openxmlformats.org/officeDocument/2006/relationships/hyperlink" Target="https://www.pca.state.mn.us/sites/default/files/wq-s6-66a.pdf" TargetMode="External"/><Relationship Id="rId7" Type="http://schemas.openxmlformats.org/officeDocument/2006/relationships/hyperlink" Target="https://www.pca.state.mn.us/air-water-land-climate/the-impact-of-altered-watercourses" TargetMode="External"/><Relationship Id="rId12" Type="http://schemas.openxmlformats.org/officeDocument/2006/relationships/hyperlink" Target="https://maisrc.umn.edu/" TargetMode="External"/><Relationship Id="rId2" Type="http://schemas.openxmlformats.org/officeDocument/2006/relationships/hyperlink" Target="https://www.dnr.state.mn.us/lands_minerals/dnr_hg_research.html" TargetMode="External"/><Relationship Id="rId1" Type="http://schemas.openxmlformats.org/officeDocument/2006/relationships/hyperlink" Target="https://www.epa.gov/pesticide-registration/about-pesticide-registration" TargetMode="External"/><Relationship Id="rId6" Type="http://schemas.openxmlformats.org/officeDocument/2006/relationships/hyperlink" Target="https://gisdata.mn.gov/dataset/water-altered-watercourse" TargetMode="External"/><Relationship Id="rId11" Type="http://schemas.openxmlformats.org/officeDocument/2006/relationships/hyperlink" Target="https://www.pca.state.mn.us/sites/default/files/wq-s1-87n.pdf" TargetMode="External"/><Relationship Id="rId5" Type="http://schemas.openxmlformats.org/officeDocument/2006/relationships/hyperlink" Target="https://www.mgwa.org/documents/whitepapers/Drain_Tiles_and_Groundwater_Resources.pdf" TargetMode="External"/><Relationship Id="rId10" Type="http://schemas.openxmlformats.org/officeDocument/2006/relationships/hyperlink" Target="https://www.pca.state.mn.us/get-engaged/animal-feedlots" TargetMode="External"/><Relationship Id="rId4" Type="http://schemas.openxmlformats.org/officeDocument/2006/relationships/hyperlink" Target="https://www.revisor.mn.gov/bills/94/2025/0/SF/2086/versions/latest/" TargetMode="External"/><Relationship Id="rId9" Type="http://schemas.openxmlformats.org/officeDocument/2006/relationships/hyperlink" Target="https://www.pca.state.mn.us/sites/default/files/wq-s1-87k.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ca.state.mn.us/air-water-land-climate/chloride-reduction-program" TargetMode="External"/><Relationship Id="rId18" Type="http://schemas.openxmlformats.org/officeDocument/2006/relationships/hyperlink" Target="https://www.burnettcountywi.gov/235/Shoreline-Protectio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pca.state.mn.us/air-water-land-climate/minnesotas-pfas-blueprint" TargetMode="External"/><Relationship Id="rId17" Type="http://schemas.openxmlformats.org/officeDocument/2006/relationships/hyperlink" Target="https://www.pca.state.mn.us/sites/default/files/wq-gen1-19.pdf" TargetMode="External"/><Relationship Id="rId2" Type="http://schemas.openxmlformats.org/officeDocument/2006/relationships/numbering" Target="numbering.xml"/><Relationship Id="rId16" Type="http://schemas.openxmlformats.org/officeDocument/2006/relationships/hyperlink" Target="https://www.co.dakota.mn.us/Environment/WaterResources/Agriculture/Documents/GroundwaterNitrateModelin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co.dakota.mn.us/Environment/WaterResources/WellsDrinkingWater/Documents/AmbientGroundwaterStudy2019.pdf"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ca.state.mn.us/air-water-land-climate/minnesota-nutrient-reduction-strategy"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nr.state.mn.us/rys/index.html" TargetMode="External"/><Relationship Id="rId1" Type="http://schemas.openxmlformats.org/officeDocument/2006/relationships/hyperlink" Target="https://www.dnr.state.mn.us/scoreyourshor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6123-BB4B-41BD-B1F5-7ACE6C88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6485</Words>
  <Characters>40080</Characters>
  <Application>Microsoft Office Word</Application>
  <DocSecurity>0</DocSecurity>
  <Lines>728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Schuldt</dc:creator>
  <cp:keywords/>
  <dc:description/>
  <cp:lastModifiedBy>Nancy Schuldt</cp:lastModifiedBy>
  <cp:revision>55</cp:revision>
  <dcterms:created xsi:type="dcterms:W3CDTF">2026-06-04T15:32:00Z</dcterms:created>
  <dcterms:modified xsi:type="dcterms:W3CDTF">2026-06-04T17:37:00Z</dcterms:modified>
</cp:coreProperties>
</file>